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May 3,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000-25349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HOOKER FURNISHINGS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54-0251350</w:t>
            </w:r>
          </w:p>
        </w:tc>
      </w:tr>
      <w:tr>
        <w:trPr>
          <w:trHeight w:val="196"/>
        </w:trPr>
        <w:tc>
          <w:tcPr>
            <w:tcW w:w="552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220"/>
              <w:spacing w:after="0" w:line="195" w:lineRule="exact"/>
              <w:rPr>
                <w:sz w:val="20"/>
                <w:szCs w:val="20"/>
                <w:color w:val="auto"/>
              </w:rPr>
            </w:pPr>
            <w:r>
              <w:rPr>
                <w:rFonts w:ascii="Times New Roman" w:cs="Times New Roman" w:eastAsia="Times New Roman" w:hAnsi="Times New Roman"/>
                <w:sz w:val="18"/>
                <w:szCs w:val="18"/>
                <w:i w:val="1"/>
                <w:iCs w:val="1"/>
                <w:color w:val="auto"/>
              </w:rPr>
              <w:t>(IRS employer</w:t>
            </w:r>
          </w:p>
        </w:tc>
      </w:tr>
      <w:tr>
        <w:trPr>
          <w:trHeight w:val="236"/>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440 East Commonwealth Boulevard, Martinsville, VA 24112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(276) 632-2133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93" w:right="339" w:bottom="1440" w:gutter="0" w:footer="0" w:header="0"/>
        </w:sectPr>
      </w:pPr>
    </w:p>
    <w:p>
      <w:pPr>
        <w:spacing w:after="0" w:line="13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5" w:lineRule="exact"/>
        <w:rPr>
          <w:sz w:val="24"/>
          <w:szCs w:val="24"/>
          <w:color w:val="auto"/>
        </w:rPr>
      </w:pPr>
    </w:p>
    <w:p>
      <w:pPr>
        <w:sectPr>
          <w:pgSz w:w="11900" w:h="16838" w:orient="portrait"/>
          <w:cols w:equalWidth="0" w:num="2">
            <w:col w:w="5480" w:space="720"/>
            <w:col w:w="5040"/>
          </w:cols>
          <w:pgMar w:left="320" w:top="493"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no par value</w:t>
            </w:r>
          </w:p>
        </w:tc>
        <w:tc>
          <w:tcPr>
            <w:tcW w:w="2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HOFT</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June 5, 2026, there were 10,741,650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2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140" w:type="dxa"/>
            <w:vAlign w:val="bottom"/>
          </w:tcPr>
          <w:p>
            <w:pPr>
              <w:spacing w:after="0"/>
              <w:rPr>
                <w:sz w:val="20"/>
                <w:szCs w:val="20"/>
                <w:color w:val="auto"/>
              </w:rPr>
            </w:pPr>
          </w:p>
        </w:tc>
      </w:tr>
      <w:tr>
        <w:trPr>
          <w:trHeight w:val="392"/>
        </w:trPr>
        <w:tc>
          <w:tcPr>
            <w:tcW w:w="30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6020" w:type="dxa"/>
            <w:vAlign w:val="bottom"/>
            <w:gridSpan w:val="3"/>
          </w:tcPr>
          <w:p>
            <w:pPr>
              <w:spacing w:after="0"/>
              <w:rPr>
                <w:sz w:val="24"/>
                <w:szCs w:val="24"/>
                <w:color w:val="auto"/>
              </w:rPr>
            </w:pPr>
          </w:p>
        </w:tc>
        <w:tc>
          <w:tcPr>
            <w:tcW w:w="21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6680" w:type="dxa"/>
            <w:vAlign w:val="bottom"/>
            <w:gridSpan w:val="6"/>
          </w:tcPr>
          <w:p>
            <w:pPr>
              <w:spacing w:after="0"/>
              <w:rPr>
                <w:sz w:val="24"/>
                <w:szCs w:val="24"/>
                <w:color w:val="auto"/>
              </w:rPr>
            </w:pPr>
          </w:p>
        </w:tc>
        <w:tc>
          <w:tcPr>
            <w:tcW w:w="21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1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18</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4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21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30</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21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6320" w:type="dxa"/>
            <w:vAlign w:val="bottom"/>
            <w:gridSpan w:val="4"/>
          </w:tcPr>
          <w:p>
            <w:pPr>
              <w:spacing w:after="0"/>
              <w:rPr>
                <w:sz w:val="24"/>
                <w:szCs w:val="24"/>
                <w:color w:val="auto"/>
              </w:rPr>
            </w:pPr>
          </w:p>
        </w:tc>
        <w:tc>
          <w:tcPr>
            <w:tcW w:w="21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31</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21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31</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Exhibits</w:t>
            </w:r>
          </w:p>
        </w:tc>
        <w:tc>
          <w:tcPr>
            <w:tcW w:w="6880" w:type="dxa"/>
            <w:vAlign w:val="bottom"/>
            <w:gridSpan w:val="7"/>
          </w:tcPr>
          <w:p>
            <w:pPr>
              <w:spacing w:after="0"/>
              <w:rPr>
                <w:sz w:val="24"/>
                <w:szCs w:val="24"/>
                <w:color w:val="auto"/>
              </w:rPr>
            </w:pPr>
          </w:p>
        </w:tc>
        <w:tc>
          <w:tcPr>
            <w:tcW w:w="21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31</w:t>
            </w: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w:t>
            </w:r>
          </w:p>
        </w:tc>
        <w:tc>
          <w:tcPr>
            <w:tcW w:w="60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32</w:t>
            </w:r>
          </w:p>
        </w:tc>
      </w:tr>
      <w:tr>
        <w:trPr>
          <w:trHeight w:val="568"/>
        </w:trPr>
        <w:tc>
          <w:tcPr>
            <w:tcW w:w="70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jc w:val="center"/>
              <w:ind w:right="3080"/>
              <w:spacing w:after="0"/>
              <w:rPr>
                <w:sz w:val="20"/>
                <w:szCs w:val="20"/>
                <w:color w:val="auto"/>
              </w:rPr>
            </w:pPr>
            <w:r>
              <w:rPr>
                <w:rFonts w:ascii="Times New Roman" w:cs="Times New Roman" w:eastAsia="Times New Roman" w:hAnsi="Times New Roman"/>
                <w:sz w:val="18"/>
                <w:szCs w:val="18"/>
                <w:color w:val="auto"/>
                <w:w w:val="78"/>
              </w:rPr>
              <w:t>i</w:t>
            </w: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4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5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HOOKER FURNISHINGS CORPORATION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May 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w:t>
            </w:r>
          </w:p>
        </w:tc>
        <w:tc>
          <w:tcPr>
            <w:tcW w:w="0" w:type="dxa"/>
            <w:vAlign w:val="bottom"/>
          </w:tcPr>
          <w:p>
            <w:pPr>
              <w:spacing w:after="0"/>
              <w:rPr>
                <w:sz w:val="1"/>
                <w:szCs w:val="1"/>
                <w:color w:val="auto"/>
              </w:rPr>
            </w:pPr>
          </w:p>
        </w:tc>
      </w:tr>
      <w:tr>
        <w:trPr>
          <w:trHeight w:val="238"/>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56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37,786</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45,032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48,684</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Income tax recoverable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5,269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5,283</w:t>
            </w:r>
          </w:p>
        </w:tc>
        <w:tc>
          <w:tcPr>
            <w:tcW w:w="0" w:type="dxa"/>
            <w:vAlign w:val="bottom"/>
          </w:tcPr>
          <w:p>
            <w:pPr>
              <w:spacing w:after="0"/>
              <w:rPr>
                <w:sz w:val="1"/>
                <w:szCs w:val="1"/>
                <w:color w:val="auto"/>
              </w:rPr>
            </w:pPr>
          </w:p>
        </w:tc>
      </w:tr>
      <w:tr>
        <w:trPr>
          <w:trHeight w:val="209"/>
        </w:trPr>
        <w:tc>
          <w:tcPr>
            <w:tcW w:w="86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91,852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22,208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25,207</w:t>
            </w: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31,291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30,422</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24,767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24,941</w:t>
            </w: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21,653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23,015</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12,994</w:t>
            </w: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18,422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15,842</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131,365</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 w:type="dxa"/>
            <w:vAlign w:val="bottom"/>
            <w:tcBorders>
              <w:bottom w:val="single" w:sz="8" w:color="CCEEFF"/>
            </w:tcBorders>
            <w:shd w:val="clear" w:color="auto" w:fill="CCEEFF"/>
          </w:tcPr>
          <w:p>
            <w:pPr>
              <w:spacing w:after="0"/>
              <w:rPr>
                <w:sz w:val="19"/>
                <w:szCs w:val="19"/>
                <w:color w:val="auto"/>
              </w:rPr>
            </w:pPr>
          </w:p>
        </w:tc>
        <w:tc>
          <w:tcPr>
            <w:tcW w:w="8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223,217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90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11,002</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5,291</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5,445</w:t>
            </w:r>
          </w:p>
        </w:tc>
        <w:tc>
          <w:tcPr>
            <w:tcW w:w="0" w:type="dxa"/>
            <w:vAlign w:val="bottom"/>
          </w:tcPr>
          <w:p>
            <w:pPr>
              <w:spacing w:after="0"/>
              <w:rPr>
                <w:sz w:val="1"/>
                <w:szCs w:val="1"/>
                <w:color w:val="auto"/>
              </w:rPr>
            </w:pPr>
          </w:p>
        </w:tc>
      </w:tr>
      <w:tr>
        <w:trPr>
          <w:trHeight w:val="230"/>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Other accrued expenses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2,320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6,365</w:t>
            </w:r>
          </w:p>
        </w:tc>
        <w:tc>
          <w:tcPr>
            <w:tcW w:w="0" w:type="dxa"/>
            <w:vAlign w:val="bottom"/>
          </w:tcPr>
          <w:p>
            <w:pPr>
              <w:spacing w:after="0"/>
              <w:rPr>
                <w:sz w:val="1"/>
                <w:szCs w:val="1"/>
                <w:color w:val="auto"/>
              </w:rPr>
            </w:pPr>
          </w:p>
        </w:tc>
      </w:tr>
      <w:tr>
        <w:trPr>
          <w:trHeight w:val="230"/>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18,207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19,468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24,356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8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5"/>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 xml:space="preserve">Common stock, no par value, </w:t>
            </w:r>
            <w:r>
              <w:rPr>
                <w:rFonts w:ascii="Times New Roman" w:cs="Times New Roman" w:eastAsia="Times New Roman" w:hAnsi="Times New Roman"/>
                <w:sz w:val="18"/>
                <w:szCs w:val="18"/>
                <w:b w:val="1"/>
                <w:bCs w:val="1"/>
                <w:color w:val="auto"/>
              </w:rPr>
              <w:t>20,000</w:t>
            </w:r>
            <w:r>
              <w:rPr>
                <w:rFonts w:ascii="Times New Roman" w:cs="Times New Roman" w:eastAsia="Times New Roman" w:hAnsi="Times New Roman"/>
                <w:sz w:val="18"/>
                <w:szCs w:val="18"/>
                <w:color w:val="auto"/>
              </w:rPr>
              <w:t xml:space="preserve"> shares authorized,</w:t>
            </w:r>
            <w:r>
              <w:rPr>
                <w:rFonts w:ascii="Times New Roman" w:cs="Times New Roman" w:eastAsia="Times New Roman" w:hAnsi="Times New Roman"/>
                <w:sz w:val="18"/>
                <w:szCs w:val="18"/>
                <w:b w:val="1"/>
                <w:bCs w:val="1"/>
                <w:color w:val="auto"/>
              </w:rPr>
              <w:t>10,770</w:t>
            </w:r>
            <w:r>
              <w:rPr>
                <w:rFonts w:ascii="Times New Roman" w:cs="Times New Roman" w:eastAsia="Times New Roman" w:hAnsi="Times New Roman"/>
                <w:sz w:val="18"/>
                <w:szCs w:val="18"/>
                <w:color w:val="auto"/>
              </w:rPr>
              <w:t xml:space="preserve"> and 10,764 shares issued and outstanding on each</w:t>
            </w: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51,479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date</w:t>
            </w:r>
          </w:p>
        </w:tc>
        <w:tc>
          <w:tcPr>
            <w:tcW w:w="10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51,361</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117,352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117,603</w:t>
            </w:r>
          </w:p>
        </w:tc>
        <w:tc>
          <w:tcPr>
            <w:tcW w:w="0" w:type="dxa"/>
            <w:vAlign w:val="bottom"/>
          </w:tcPr>
          <w:p>
            <w:pPr>
              <w:spacing w:after="0"/>
              <w:rPr>
                <w:sz w:val="1"/>
                <w:szCs w:val="1"/>
                <w:color w:val="auto"/>
              </w:rPr>
            </w:pPr>
          </w:p>
        </w:tc>
      </w:tr>
      <w:tr>
        <w:trPr>
          <w:trHeight w:val="229"/>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0"/>
        </w:trPr>
        <w:tc>
          <w:tcPr>
            <w:tcW w:w="48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169,094</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 w:type="dxa"/>
            <w:vAlign w:val="bottom"/>
            <w:tcBorders>
              <w:bottom w:val="single" w:sz="8" w:color="CCEEFF"/>
            </w:tcBorders>
            <w:shd w:val="clear" w:color="auto" w:fill="CCEEFF"/>
          </w:tcPr>
          <w:p>
            <w:pPr>
              <w:spacing w:after="0"/>
              <w:rPr>
                <w:sz w:val="19"/>
                <w:szCs w:val="19"/>
                <w:color w:val="auto"/>
              </w:rPr>
            </w:pPr>
          </w:p>
        </w:tc>
        <w:tc>
          <w:tcPr>
            <w:tcW w:w="820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223,217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740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HOOKER FURNISHINGS CORPORATION AND SUBSIDIARIES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740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May 3,</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color w:val="auto"/>
              </w:rPr>
              <w:t>May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69,452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71,184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48,860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53,249</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20,592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17,935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17,766</w:t>
            </w:r>
          </w:p>
        </w:tc>
        <w:tc>
          <w:tcPr>
            <w:tcW w:w="0" w:type="dxa"/>
            <w:vAlign w:val="bottom"/>
          </w:tcPr>
          <w:p>
            <w:pPr>
              <w:spacing w:after="0"/>
              <w:rPr>
                <w:sz w:val="1"/>
                <w:szCs w:val="1"/>
                <w:color w:val="auto"/>
              </w:rPr>
            </w:pPr>
          </w:p>
        </w:tc>
      </w:tr>
      <w:tr>
        <w:trPr>
          <w:trHeight w:val="2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income / (loss)</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 income</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 (Loss) from continuing operations before income taxes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(loss) from continuing operations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(loss) from discontinued operations, net of taxes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Earnings / (Loss) from continuing operations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0.10</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4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 (Loss) from discontinued operations per share</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Basic earnings /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8680" w:type="dxa"/>
            <w:vAlign w:val="bottom"/>
            <w:tcBorders>
              <w:bottom w:val="single" w:sz="8" w:color="CCEEFF"/>
            </w:tcBorders>
            <w:gridSpan w:val="3"/>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0.10</w:t>
            </w: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7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 (Loss) from continuing operations per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8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Earnings / (Loss) from discontinued operations per share</w:t>
            </w:r>
          </w:p>
        </w:tc>
        <w:tc>
          <w:tcPr>
            <w:tcW w:w="20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bottom w:val="single" w:sz="8" w:color="CCEEFF"/>
            </w:tcBorders>
            <w:gridSpan w:val="3"/>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 loss per share</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10,644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10,563</w:t>
            </w:r>
          </w:p>
        </w:tc>
        <w:tc>
          <w:tcPr>
            <w:tcW w:w="0" w:type="dxa"/>
            <w:vAlign w:val="bottom"/>
          </w:tcPr>
          <w:p>
            <w:pPr>
              <w:spacing w:after="0"/>
              <w:rPr>
                <w:sz w:val="1"/>
                <w:szCs w:val="1"/>
                <w:color w:val="auto"/>
              </w:rPr>
            </w:pPr>
          </w:p>
        </w:tc>
      </w:tr>
      <w:tr>
        <w:trPr>
          <w:trHeight w:val="197"/>
        </w:trPr>
        <w:tc>
          <w:tcPr>
            <w:tcW w:w="8680" w:type="dxa"/>
            <w:vAlign w:val="bottom"/>
            <w:tcBorders>
              <w:top w:val="single" w:sz="8" w:color="CCEEFF"/>
              <w:bottom w:val="single" w:sz="8" w:color="CCEEFF"/>
            </w:tcBorders>
            <w:gridSpan w:val="3"/>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10,778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0.115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58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HOOKER FURNISHINGS CORPORATION AND SUBSIDIARIES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87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 (LOSS)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8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8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(Unaudited)</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01"/>
        </w:trPr>
        <w:tc>
          <w:tcPr>
            <w:tcW w:w="1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color w:val="auto"/>
              </w:rPr>
              <w:t>May 4,</w:t>
            </w:r>
          </w:p>
        </w:tc>
        <w:tc>
          <w:tcPr>
            <w:tcW w:w="100" w:type="dxa"/>
            <w:vAlign w:val="bottom"/>
          </w:tcPr>
          <w:p>
            <w:pPr>
              <w:spacing w:after="0"/>
              <w:rPr>
                <w:sz w:val="17"/>
                <w:szCs w:val="17"/>
                <w:color w:val="auto"/>
              </w:rPr>
            </w:pPr>
          </w:p>
        </w:tc>
      </w:tr>
      <w:tr>
        <w:trPr>
          <w:trHeight w:val="238"/>
        </w:trPr>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(loss)</w:t>
            </w:r>
          </w:p>
        </w:tc>
        <w:tc>
          <w:tcPr>
            <w:tcW w:w="5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1,061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r>
      <w:tr>
        <w:trPr>
          <w:trHeight w:val="216"/>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Actuarial adjustments</w:t>
            </w:r>
          </w:p>
        </w:tc>
        <w:tc>
          <w:tcPr>
            <w:tcW w:w="5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3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effect on adjustments</w:t>
            </w:r>
          </w:p>
        </w:tc>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30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Adjustments to net periodic benefit cost</w:t>
            </w:r>
          </w:p>
        </w:tc>
        <w:tc>
          <w:tcPr>
            <w:tcW w:w="5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 (loss)</w:t>
            </w:r>
          </w:p>
        </w:tc>
        <w:tc>
          <w:tcPr>
            <w:tcW w:w="5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1,046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HOOKER FURNISHINGS CORPORATION AND SUBSIDIARIES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41"/>
              <w:spacing w:after="0" w:line="201" w:lineRule="exact"/>
              <w:rPr>
                <w:sz w:val="20"/>
                <w:szCs w:val="20"/>
                <w:color w:val="auto"/>
              </w:rPr>
            </w:pPr>
            <w:r>
              <w:rPr>
                <w:rFonts w:ascii="Times New Roman" w:cs="Times New Roman" w:eastAsia="Times New Roman" w:hAnsi="Times New Roman"/>
                <w:sz w:val="18"/>
                <w:szCs w:val="18"/>
                <w:b w:val="1"/>
                <w:bCs w:val="1"/>
                <w:color w:val="auto"/>
              </w:rPr>
              <w:t>May 3,</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color w:val="auto"/>
              </w:rPr>
              <w:t>May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Loss from discontinued operations, net of taxes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 expense / (benefit)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179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restricted stock and performance awards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 (benefit from) doubtful accounts and sales allowances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476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life insurance policies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 loss on disposal of assets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6,377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12,844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3,651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5,312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recoverable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1,061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income taxes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(235)</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14,409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(403)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Premiums paid on life insurance policies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received on life insurance policies</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540</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 (used in) investing activities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3,156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long-term loans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dividends paid</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(1,254)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used in discontinued operations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16" w:right="339" w:bottom="443"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 end of quarter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9,506</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w:t>
            </w:r>
          </w:p>
        </w:tc>
      </w:tr>
      <w:tr>
        <w:trPr>
          <w:trHeight w:val="238"/>
        </w:trPr>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1,112</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23"/>
        </w:trPr>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10,618</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216" w:right="339" w:bottom="443"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Supplemental schedule of cash flow information:</w:t>
            </w:r>
          </w:p>
        </w:tc>
        <w:tc>
          <w:tcPr>
            <w:tcW w:w="1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net</w:t>
            </w:r>
          </w:p>
        </w:tc>
        <w:tc>
          <w:tcPr>
            <w:tcW w:w="19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 (refund), net</w:t>
            </w:r>
          </w:p>
        </w:tc>
        <w:tc>
          <w:tcPr>
            <w:tcW w:w="1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7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Supplemental schedule of noncash investing activities:</w:t>
            </w:r>
          </w:p>
        </w:tc>
        <w:tc>
          <w:tcPr>
            <w:tcW w:w="1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 (Decrease) in lease liabilities arising from obtaining right-of-use assets</w:t>
            </w:r>
          </w:p>
        </w:tc>
        <w:tc>
          <w:tcPr>
            <w:tcW w:w="19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property and equipment through accrued purchases</w:t>
            </w:r>
          </w:p>
        </w:tc>
        <w:tc>
          <w:tcPr>
            <w:tcW w:w="19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w:t>
            </w:r>
          </w:p>
        </w:tc>
        <w:tc>
          <w:tcPr>
            <w:tcW w:w="5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ectPr>
          <w:pgSz w:w="11900" w:h="16838" w:orient="portrait"/>
          <w:cols w:equalWidth="0" w:num="1">
            <w:col w:w="11240"/>
          </w:cols>
          <w:pgMar w:left="320" w:top="216" w:right="339" w:bottom="443"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443"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7440" w:type="dxa"/>
            <w:vAlign w:val="bottom"/>
            <w:gridSpan w:val="11"/>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HOOKER FURNISHINGS CORPORATION AND SUBSIDIARIES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440" w:type="dxa"/>
            <w:vAlign w:val="bottom"/>
            <w:gridSpan w:val="11"/>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SHAREHOLDERS’ EQUITY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340" w:type="dxa"/>
            <w:vAlign w:val="bottom"/>
            <w:gridSpan w:val="7"/>
          </w:tcPr>
          <w:p>
            <w:pPr>
              <w:jc w:val="center"/>
              <w:ind w:left="237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(Unaudited)</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12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Retained</w:t>
            </w: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Comprehensive</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Shareholders’</w:t>
            </w:r>
          </w:p>
        </w:tc>
      </w:tr>
      <w:tr>
        <w:trPr>
          <w:trHeight w:val="223"/>
        </w:trPr>
        <w:tc>
          <w:tcPr>
            <w:tcW w:w="12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Earnings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Income</w:t>
            </w:r>
          </w:p>
        </w:tc>
        <w:tc>
          <w:tcPr>
            <w:tcW w:w="160" w:type="dxa"/>
            <w:vAlign w:val="bottom"/>
          </w:tcPr>
          <w:p>
            <w:pPr>
              <w:spacing w:after="0"/>
              <w:rPr>
                <w:sz w:val="19"/>
                <w:szCs w:val="19"/>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Equity</w:t>
            </w:r>
          </w:p>
        </w:tc>
      </w:tr>
      <w:tr>
        <w:trPr>
          <w:trHeight w:val="209"/>
        </w:trPr>
        <w:tc>
          <w:tcPr>
            <w:tcW w:w="50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February 2, 2025</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for the 13 weeks ended May 4, 2025</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(3,052)</w:t>
            </w: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adjustments on defined benefit plan, net of tax of $11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paid and accrued ($0.23 per share)</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(2,497)</w:t>
            </w: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grants, net of forfeitures</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compensation cost</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restricted stock units cost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63"/>
        </w:trPr>
        <w:tc>
          <w:tcPr>
            <w:tcW w:w="5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Balance at May 4, 2025</w:t>
            </w:r>
          </w:p>
        </w:tc>
        <w:tc>
          <w:tcPr>
            <w:tcW w:w="50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50,831</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147,787</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199,157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12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at February 1, 2026</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10,764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51,361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117,603</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169,242</w:t>
            </w:r>
          </w:p>
        </w:tc>
        <w:tc>
          <w:tcPr>
            <w:tcW w:w="8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for the 13 weeks ended May 3, 2026</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1,061</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Actuarial adjustments on defined benefit plan, net of tax of $4</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dividends paid and accrued ($0.115 per share)</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(1,254)</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 and retirement of common stock</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w:t>
            </w: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stock grants, net of forfeitures</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(351)</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compensation cost</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344</w:t>
            </w:r>
          </w:p>
        </w:tc>
      </w:tr>
      <w:tr>
        <w:trPr>
          <w:trHeight w:val="230"/>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 cost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w:t>
            </w:r>
          </w:p>
        </w:tc>
      </w:tr>
      <w:tr>
        <w:trPr>
          <w:trHeight w:val="22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at May 3, 2026</w:t>
            </w:r>
          </w:p>
        </w:tc>
        <w:tc>
          <w:tcPr>
            <w:tcW w:w="5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10,770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51,479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117,352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169,094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HOOKER FURNISHINGS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tables, except per share amounts, in thousands unless otherwise indicated)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Thirteen Weeks Ended May 3,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Preparation of Interim Financial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of Hooker Furnishings Corporation and subsidiaries (referred to as “we,” “us,” “our,” “Hooker” or the “Company”) have been prepared in accordance with the rules and regulations of the Securities and Exchange Commission (“SEC”). In the opinion of management these statements include all adjustments necessary for a fair statement of the results of all interim periods reported herein. All such adjustments are of a normal recurring nature. Certain information and footnote disclosures prepared in accordance with U.S. generally accepted accounting principles (“GAAP”) are condensed or omitted pursuant to SEC rules and regulations. However, we believe that the disclosures made are adequate for a fair presentation of our results of operations and financial position. These financial statements should be read in conjunction with the audited consolidated financial statements and accompanying notes included in our annual report on Form 10-K for the fiscal year ended February 1, 2026 (“2026 Annual Report”). The preparation of financial statements in conformity with GAAP requires us to make estimates and assumptions that affect both the reported amounts of assets and liabilities at the date of the financial statements and the reported amounts of revenues and expenses during the reporting period. Actual results could differ from our estimates. Operating results for the interim periods reported herein may not be indicative of the results expected for the fiscal year.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contained herein are being filed as part of a quarterly report on Form 10-Q covering the 2027 fiscal year thirteen-week period (also referred to as “three months,” “three-month period,” “quarter,” “first quarter” or “quarterly period”) that began February 2, 2026 and ended May 3, 2026. This report discusses our results of operations for this period compared to the 2026 fiscal year thirteen-week period that began February 3, 2025 and ended May 4, 2025; and our financial condition as of May 3, 2026 compared to February 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these notes to the condensed consolidated financial statements of the Company to:</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2027 fiscal year and comparable terminology mean the fifty-two-week fiscal year that began February 2, 2026 and will end January 31, 2027; and</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2026 fiscal year and comparable terminology mean the fifty-two-week fiscal year that began February 3, 2025 and ended February 1, 2026.</w:t>
      </w:r>
    </w:p>
    <w:p>
      <w:pPr>
        <w:spacing w:after="0" w:line="302" w:lineRule="exact"/>
        <w:rPr>
          <w:sz w:val="20"/>
          <w:szCs w:val="20"/>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Adopted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The new guidance requires new tabular disclosures to disaggregate prescribed natural expenses underlying any income statement caption. ASU 2024-03 is effective for annual periods beginning after December 15, 2026 (our fiscal 2028). We are currently evaluating the impact that the adoption of this new guidance will have on our consolidated financial statements and will add necessary disclosures upon adoption.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reviewed all other newly issued accounting pronouncements and concluded that they are either not applicable to our business or are not expected to have a material effect on our consolidated financial statements as a result of future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2026, we determined that the Home Meridian segment no longer aligned with our long-term strategy to streamline our portfolio and enhance profitability by focusing on brands that generate consistent earnings. As a result, we initiated a process to sell two brands in the segment. On December 1, 2025, we entered into an Asset Purchase Agreement (the “Asset Purchase Agreement”) with a buyer to sell the Company’s Pulaski Furniture (“PFC”) and Samuel Lawrence (“SLF”) casegoods brands, including specified assets and liabilities associated with those brands. We retain the Samuel Lawrence brand in connection with the operation of its hospitality business.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2025, the Company completed the sale and received cash proceeds of approximately $5.5 million, representing the estimated net book value of the assets at closing, less a holdback amount of approximately $0.6 million, in accordance with the terms of the purchase agreement. Final transaction pricing, including working capital adjustments, resulted in a difference of approximately $0.3 million between the estimated fair value less costs to sell determined at the measurement date and the final net proceeds received.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sale, the Home Meridian segment was eliminated, with its remaining Samuel Lawrence Hospitality brand reclassified into the “All Other” category.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this transaction represented a single disposal plan that constituted a strategic shift that materially affects our operations and financial results. Accordingly, the financial results of the PFC and SLF businesses are reflected in our consolidated financial statements as discontinued operations for all periods presented.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summarized statements of operations information of carrying amounts of major classes of line items constituting pretax loss of discontinued operations included as part of discontinued operations for the first quarter of fiscal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56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1"/>
        </w:trPr>
        <w:tc>
          <w:tcPr>
            <w:tcW w:w="47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80" w:type="dxa"/>
            <w:vAlign w:val="bottom"/>
            <w:tcBorders>
              <w:top w:val="single" w:sz="8" w:color="auto"/>
            </w:tcBorders>
          </w:tcPr>
          <w:p>
            <w:pPr>
              <w:jc w:val="center"/>
              <w:ind w:left="1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color w:val="auto"/>
              </w:rPr>
              <w:t>May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4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7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14,133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12,850</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Trade name impairment charges</w:t>
            </w:r>
          </w:p>
        </w:tc>
        <w:tc>
          <w:tcPr>
            <w:tcW w:w="3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items that are not major</w:t>
            </w:r>
          </w:p>
        </w:tc>
        <w:tc>
          <w:tcPr>
            <w:tcW w:w="3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3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9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7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included in our condensed consolidated statements of cash flows for the discontinued operations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2560" w:type="dxa"/>
            <w:vAlign w:val="bottom"/>
            <w:gridSpan w:val="6"/>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May 3,</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30"/>
              <w:spacing w:after="0" w:line="201" w:lineRule="exact"/>
              <w:rPr>
                <w:sz w:val="20"/>
                <w:szCs w:val="20"/>
                <w:color w:val="auto"/>
              </w:rPr>
            </w:pPr>
            <w:r>
              <w:rPr>
                <w:rFonts w:ascii="Times New Roman" w:cs="Times New Roman" w:eastAsia="Times New Roman" w:hAnsi="Times New Roman"/>
                <w:sz w:val="18"/>
                <w:szCs w:val="18"/>
                <w:color w:val="auto"/>
              </w:rPr>
              <w:t>May 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88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88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(9,873)</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used in operating activities from discontinued operations</w:t>
            </w:r>
          </w:p>
        </w:tc>
        <w:tc>
          <w:tcPr>
            <w:tcW w:w="880" w:type="dxa"/>
            <w:vAlign w:val="bottom"/>
            <w:tcBorders>
              <w:top w:val="single" w:sz="8" w:color="auto"/>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properties and equipment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 from discontinued operations</w:t>
            </w:r>
          </w:p>
        </w:tc>
        <w:tc>
          <w:tcPr>
            <w:tcW w:w="880" w:type="dxa"/>
            <w:vAlign w:val="bottom"/>
            <w:tcBorders>
              <w:top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accounts receivable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allowances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accounts receivable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May 3,</w:t>
            </w:r>
          </w:p>
        </w:tc>
        <w:tc>
          <w:tcPr>
            <w:tcW w:w="120" w:type="dxa"/>
            <w:vAlign w:val="bottom"/>
          </w:tcPr>
          <w:p>
            <w:pPr>
              <w:spacing w:after="0"/>
              <w:rPr>
                <w:sz w:val="19"/>
                <w:szCs w:val="19"/>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February 1,</w:t>
            </w:r>
          </w:p>
        </w:tc>
      </w:tr>
      <w:tr>
        <w:trPr>
          <w:trHeight w:val="238"/>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3"/>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36,445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43,327</w:t>
            </w:r>
          </w:p>
        </w:tc>
        <w:tc>
          <w:tcPr>
            <w:tcW w:w="4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(495)</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52"/>
        </w:trPr>
        <w:tc>
          <w:tcPr>
            <w:tcW w:w="2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(5,017)</w:t>
            </w: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(5,187)</w:t>
            </w:r>
          </w:p>
        </w:tc>
      </w:tr>
      <w:tr>
        <w:trPr>
          <w:trHeight w:val="223"/>
        </w:trPr>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30,933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-599440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-325120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February 1,</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CCEEFF"/>
            </w:tcBorders>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furniture</w:t>
            </w:r>
          </w:p>
        </w:tc>
        <w:tc>
          <w:tcPr>
            <w:tcW w:w="50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Furniture in process</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supplies</w:t>
            </w:r>
          </w:p>
        </w:tc>
        <w:tc>
          <w:tcPr>
            <w:tcW w:w="5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11,459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11,879</w:t>
            </w:r>
          </w:p>
        </w:tc>
        <w:tc>
          <w:tcPr>
            <w:tcW w:w="0" w:type="dxa"/>
            <w:vAlign w:val="bottom"/>
          </w:tcPr>
          <w:p>
            <w:pPr>
              <w:spacing w:after="0"/>
              <w:rPr>
                <w:sz w:val="1"/>
                <w:szCs w:val="1"/>
                <w:color w:val="auto"/>
              </w:rPr>
            </w:pPr>
          </w:p>
        </w:tc>
      </w:tr>
      <w:tr>
        <w:trPr>
          <w:trHeight w:val="210"/>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at FIFO</w:t>
            </w:r>
          </w:p>
        </w:tc>
        <w:tc>
          <w:tcPr>
            <w:tcW w:w="5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70,924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to LIFO basis</w:t>
            </w:r>
          </w:p>
        </w:tc>
        <w:tc>
          <w:tcPr>
            <w:tcW w:w="5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(25,892)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(25,870)</w:t>
            </w:r>
          </w:p>
        </w:tc>
        <w:tc>
          <w:tcPr>
            <w:tcW w:w="0" w:type="dxa"/>
            <w:vAlign w:val="bottom"/>
          </w:tcPr>
          <w:p>
            <w:pPr>
              <w:spacing w:after="0"/>
              <w:rPr>
                <w:sz w:val="1"/>
                <w:szCs w:val="1"/>
                <w:color w:val="auto"/>
              </w:rPr>
            </w:pPr>
          </w:p>
        </w:tc>
      </w:tr>
      <w:tr>
        <w:trPr>
          <w:trHeight w:val="22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50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45,032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0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6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Depreciable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Lives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February 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 years)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land improvements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15 - 30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34,566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11,852</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8,265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Term of lease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7,630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3 - 8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3,070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701</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depreciable property at cost</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66,084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(46,736)</w:t>
            </w:r>
          </w:p>
        </w:tc>
        <w:tc>
          <w:tcPr>
            <w:tcW w:w="1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(46,060)</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depreciable property, net</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19,348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1,077</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1,783</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22,208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Internal-Use Software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internal-use software includes our Enterprise Resource Planning (“ERP”) system across all divisions, as well as our new website and integrated B2B online marketplace, which was placed into service at the beginning of fiscal 2027. The gross carrying amount of capitalized implementation costs related to our cloud computing hosting arrangements increased by $2.7 million during the first quarter of fiscal 2027, primarily due to the reclassification of costs associated with our new digital platform from implementation costs in process upon being placed into service. Based on the provisions of ASU 2018-15, Intangibles — Goodwill and Other — Internal-Use Software, we capitalize implementation costs associated with hosting arrangements that are service contracts. These costs are recorded in “other noncurrent assets” of our condensed consolidated balance sheets. We amortize these costs on a straight-line basis over a 10-year term. The amortization expenses are recorded as a component of selling and administrative expenses in our condensed consolidated statements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material implementation costs or interest expense were capitalized in fiscal 2027 first quarter. Implementation costs of $203,000 and interest expense of $62,000 were capitalized in fiscal 2026 first quarter. Amortization expenses of $533,000 and $368,000 were recorded in the first quarters of fiscal 2027 and 2026, respectively. The capitalized implementation costs at May 3, 2026 and February 1, 2026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May 3, 2026</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February 1, 2026</w:t>
            </w:r>
          </w:p>
        </w:tc>
      </w:tr>
      <w:tr>
        <w:trPr>
          <w:trHeight w:val="187"/>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5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carrying</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Accumulated</w:t>
            </w:r>
          </w:p>
        </w:tc>
      </w:t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amount</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amortization</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Implementation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20,192</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783</w:t>
            </w:r>
          </w:p>
        </w:tc>
        <w:tc>
          <w:tcPr>
            <w:tcW w:w="5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upon the sale of an asset or paid upon the transfer of a liability (an exit price) in an orderly transaction between market participants on the applicable measurement date. We use a three-tier fair value hierarchy, which prioritizes the inputs used in measuring fair value. These tiers include: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defined as observable inputs such as quoted prices in active markets for identical assets and liabilities;</w:t>
      </w:r>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and</w:t>
      </w:r>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defined as unobservable inputs for which little or no market data exists, therefore requiring an entity to develop its own assumptions.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3, 2026 and February 1, 2026, Company-owned life insurance was measured at fair value on a recurring basis based on Level 2 inputs. The fair value of the Company-owned life insurance is determined by inputs that are readily available in public markets or can be derived from information available in publicly quoted markets. Additionally, the fair value of the Company-owned life insurance is marked to market each reporting period and any change in fair value is reflected in income for that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assets measured at fair value on a recurring basis at May 3, 2026 and February 1, 2026,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at May 3, 2026</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Fair value at February 1, 2026</w:t>
            </w:r>
          </w:p>
        </w:tc>
      </w:tr>
      <w:tr>
        <w:trPr>
          <w:trHeight w:val="223"/>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2</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7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$ 31,291</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$ 31,291</w:t>
            </w:r>
          </w:p>
        </w:tc>
        <w:tc>
          <w:tcPr>
            <w:tcW w:w="600" w:type="dxa"/>
            <w:vAlign w:val="bottom"/>
          </w:tcPr>
          <w:p>
            <w:pPr>
              <w:jc w:val="right"/>
              <w:ind w:right="43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$ 30,422</w:t>
            </w:r>
          </w:p>
        </w:tc>
        <w:tc>
          <w:tcPr>
            <w:tcW w:w="7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$ 30,422</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intangible assets with indefinite lives consist of: goodwill related to the Shenandoah and BOBO Intriguing Objects acquisitions; and trademarks and tradenames related to the acquisitions of Bradington-Young, Home Meridian and BOBO Intriguing Objects. Our intangible assets with definite lives are recorded in the Domestic Upholstery segment, consisting of Shenandoah and Sunset West trade names and customer relations. Details of our intangible assets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72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May 3, 2026</w:t>
            </w:r>
          </w:p>
        </w:tc>
        <w:tc>
          <w:tcPr>
            <w:tcW w:w="254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February 1, 2026</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1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Impairment /</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color w:val="auto"/>
                <w:w w:val="99"/>
              </w:rPr>
              <w:t>Gross</w:t>
            </w:r>
          </w:p>
        </w:tc>
        <w:tc>
          <w:tcPr>
            <w:tcW w:w="112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Impairment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carrying</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Accumulated</w:t>
            </w: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Intangible assets with indefinite lives: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Amortization</w:t>
            </w:r>
          </w:p>
        </w:tc>
        <w:tc>
          <w:tcPr>
            <w:tcW w:w="0" w:type="dxa"/>
            <w:vAlign w:val="bottom"/>
          </w:tcPr>
          <w:p>
            <w:pPr>
              <w:spacing w:after="0"/>
              <w:rPr>
                <w:sz w:val="1"/>
                <w:szCs w:val="1"/>
                <w:color w:val="auto"/>
              </w:rPr>
            </w:pPr>
          </w:p>
        </w:tc>
      </w:tr>
      <w:tr>
        <w:trPr>
          <w:trHeight w:val="187"/>
        </w:trPr>
        <w:tc>
          <w:tcPr>
            <w:tcW w:w="5980" w:type="dxa"/>
            <w:vAlign w:val="bottom"/>
            <w:vMerge w:val="continue"/>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Upholstery - Shenandoah *</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 - BOBO Intriguing Objects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Trademarks and Trade names *</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with definite lives: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23,601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(13,134)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23,601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(12,620)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2,334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27,954</w:t>
            </w:r>
          </w:p>
        </w:tc>
        <w:tc>
          <w:tcPr>
            <w:tcW w:w="26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(15,504)</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27,954</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339"/>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w:t>
        <w:tab/>
        <w:t>The amounts are net of impairment charges of $16.4 million related to Shenandoah goodwill; $14.5 million related to Sunset West goodwill; $5.7 million related to certain Home Meridian trade names unrelated to PFC and SLF, including $2.6 million recorded in fiscal 2021, $2.5 million recorded in fiscal 2025, and $558,000 recorded in fiscal 2026; and $556,000 related to the Bradington-Young trade name in the Domestic Upholstery segment.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expenses for intangible assets with definite lives were $545,000 and $667,000 for the first quarters of fiscal 2027 and 2026, respectively. For the remainder of fiscal 2027, amortization expense is expected to be approximately $1.6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operating leases for warehouses, showrooms, manufacturing facilities, offices and equipment. We recognized sublease income of $64,000 and $18,000 in the first quarters of fiscal 2027 and 2026,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and supplemental cash flow information for leases for the first quarters of fiscal 2027 and 2026 were: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operating lease cost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color w:val="auto"/>
              </w:rPr>
              <w:t>May 4,</w:t>
            </w:r>
          </w:p>
        </w:tc>
        <w:tc>
          <w:tcPr>
            <w:tcW w:w="20" w:type="dxa"/>
            <w:vAlign w:val="bottom"/>
          </w:tcPr>
          <w:p>
            <w:pPr>
              <w:spacing w:after="0"/>
              <w:rPr>
                <w:sz w:val="16"/>
                <w:szCs w:val="16"/>
                <w:color w:val="auto"/>
              </w:rPr>
            </w:pPr>
          </w:p>
        </w:tc>
      </w:tr>
      <w:tr>
        <w:trPr>
          <w:trHeight w:val="238"/>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r>
      <w:tr>
        <w:trPr>
          <w:trHeight w:val="187"/>
        </w:trPr>
        <w:tc>
          <w:tcPr>
            <w:tcW w:w="200" w:type="dxa"/>
            <w:vAlign w:val="bottom"/>
          </w:tcPr>
          <w:p>
            <w:pPr>
              <w:jc w:val="right"/>
              <w:ind w:right="36"/>
              <w:spacing w:after="0" w:line="187"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1,659</w:t>
            </w:r>
          </w:p>
        </w:tc>
        <w:tc>
          <w:tcPr>
            <w:tcW w:w="220" w:type="dxa"/>
            <w:vAlign w:val="bottom"/>
          </w:tcPr>
          <w:p>
            <w:pPr>
              <w:spacing w:after="0"/>
              <w:rPr>
                <w:sz w:val="16"/>
                <w:szCs w:val="16"/>
                <w:color w:val="auto"/>
              </w:rPr>
            </w:pPr>
          </w:p>
        </w:tc>
        <w:tc>
          <w:tcPr>
            <w:tcW w:w="20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2,172</w:t>
            </w:r>
          </w:p>
        </w:tc>
        <w:tc>
          <w:tcPr>
            <w:tcW w:w="20" w:type="dxa"/>
            <w:vAlign w:val="bottom"/>
          </w:tcPr>
          <w:p>
            <w:pPr>
              <w:spacing w:after="0"/>
              <w:rPr>
                <w:sz w:val="16"/>
                <w:szCs w:val="16"/>
                <w:color w:val="auto"/>
              </w:rPr>
            </w:pPr>
          </w:p>
        </w:tc>
      </w:tr>
      <w:tr>
        <w:trPr>
          <w:trHeight w:val="229"/>
        </w:trPr>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38"/>
        </w:trPr>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-607695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-325120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-16510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spacing w:after="0"/>
        <w:tabs>
          <w:tab w:leader="none" w:pos="8660" w:val="left"/>
          <w:tab w:leader="none" w:pos="938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Operating cash outflows</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1,769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2,233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right-of-use assets and lease liabilities recorded on our condensed consolidated balance sheets as of May 3, 2026 and February 1, 2026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w:t>
            </w:r>
          </w:p>
        </w:tc>
      </w:tr>
      <w:tr>
        <w:trPr>
          <w:trHeight w:val="238"/>
        </w:trPr>
        <w:tc>
          <w:tcPr>
            <w:tcW w:w="8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w w:val="92"/>
              </w:rPr>
              <w:t>21,031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leases right-of-use assets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w w:val="92"/>
              </w:rPr>
              <w:t>21,653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5,445</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 term operating lease liabilities</w:t>
            </w:r>
          </w:p>
        </w:tc>
        <w:tc>
          <w:tcPr>
            <w:tcW w:w="180" w:type="dxa"/>
            <w:vAlign w:val="bottom"/>
          </w:tcPr>
          <w:p>
            <w:pPr>
              <w:spacing w:after="0"/>
              <w:rPr>
                <w:sz w:val="19"/>
                <w:szCs w:val="19"/>
                <w:color w:val="auto"/>
              </w:rPr>
            </w:pP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18,207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19,468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w w:val="92"/>
              </w:rPr>
              <w:t>23,566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discount rate is 4.97%. The weighted-average remaining lease term is 5.4 years as of May 3, 2026.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future lease payments for operating leases to the operating lease liabilities recorded in the condensed consolidated balance sheets on May 3,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Undiscounted</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Future</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38"/>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Payments</w:t>
            </w:r>
          </w:p>
        </w:tc>
      </w:tr>
      <w:tr>
        <w:trPr>
          <w:trHeight w:val="210"/>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2027</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4,685</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3,915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3,881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3,913</w:t>
            </w:r>
          </w:p>
        </w:tc>
      </w:tr>
      <w:tr>
        <w:trPr>
          <w:trHeight w:val="23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2032 and thereafter</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5,833</w:t>
            </w:r>
          </w:p>
        </w:tc>
      </w:tr>
      <w:tr>
        <w:trPr>
          <w:trHeight w:val="210"/>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impact of discounting</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 2026, the Company had an additional lease for an administrative office in High Point, North Carolina. This lease commenced in May of calendar 2026 with an initial lease term of seven years and estimated future minimum rental commitments of approximately $2.2 million. Since the lease had not commenced as of the quarter-end, the undiscounted amounts are not included in the table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December 5, 2024, the Company and its wholly owned subsidiaries, Bradington-Young, LLC, Sam Moore Furniture LLC and Home Meridian Group, LLC (together with the Company, the “Borrowers”), entered into an Amended and Restated Loan and Security Agreement (the “Amended and Restated Loan Agreement”) with Bank of America, N.A. (“BofA”), as lender. The Amended and Restated Loan Agreement amends, restates and replaces the Second Amended and Restated Loan Agreement, dated as of September 29, 2017, between the Borrowers and BofA, as amended (the “Existing Loan Agreement”). The outstanding principal amount of loans and letters of credit issued under the Existing Loan Agreement and used to collateralize certain insurance arrangements and for imported product purchases will remain outstanding as loans and letters of credit under the Amended and Restated Loan Agreement.</w:t>
      </w:r>
    </w:p>
    <w:p>
      <w:pPr>
        <w:sectPr>
          <w:pgSz w:w="11900" w:h="16838" w:orient="portrait"/>
          <w:cols w:equalWidth="0" w:num="1">
            <w:col w:w="11240"/>
          </w:cols>
          <w:pgMar w:left="320" w:top="229" w:right="339" w:bottom="1440" w:gutter="0" w:footer="0" w:header="0"/>
          <w:type w:val="continuous"/>
        </w:sect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and Restated Loan Agreement provides for a revolving credit facility in a committed principal amount of up to $70,000,000 (the “Revolving Commitment”), including subline of $8,000,000 for letters of credit, and an option to increase the Revolving Commitment by up to $30,000,000 upon meeting certain conditions, including agreement by BofA to increase the Revolving Commitment by such amount. Proceeds of loans and letters of credit under the Amended and Restated Loan Agreement will be available for general working capital and other corporate purposes of the Borrower.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of loans and letters of credit under the Revolving Commitment is capped by a borrowing base formula calculated as of any date as the sum for the Borrowers of (a) the value of their accounts receivable, (b) the value of their inventory, (c) the value of their in-transit inventory and (d) the life insurance cash surrender value of Company-owned life insurance policies, in each case subject to eligibility requirements, advance rates, valuation metrics, reductions for write-offs and other dilutive items and reserves (the “Borrowing Base”). The lesser of the Revolving Commitment and the Borrowing Base, in each case net of the principal amount of outstanding loans and the face amount of letters of credit, constitutes “Availability” under the Amended and Restated Credit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Outstanding loans under the Amended and Restated Loan Agreement will bear interest at a rate per annum equal to the then-current Term SOFR Rate for a period of one month plus 0.10% plus a margin of 1.75%. The Term SOFR Rate will be adjusted on a monthly basis. Letters of credit are subject to a letter of credit fee equal to the actual daily amount of undrawn letters of credit multiplied by a per annum rate of 1.75% and a fronting fee equal to the actual daily amount of undrawn letters of credit multiplied by a per annum rate of 0.125%. We must also pay a monthly unused commitment fee that is based on the average daily unused amount of Revolving Commitment multiplied by a per annum rate of 0.25%. All accrued interest and fees are payable in cash monthly in arrears.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prepay any outstanding principal amounts borrowed under the Amended and Restated Loan Agreement at any time, without penalty provided that any payment is accompanied by all accrued interest owed. Subject to the Borrowers having sufficient borrowing base capacity and customary conditions precedent to borrowing, amounts repaid may be reborrowed. The Revolving Commitment will terminate, and all amounts outstanding thereunder will be due and payable, on December 5, 2029.</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obligations under the Amended and Restated Loan Agreement are secured by a first priority security interest in substantially all of the assets of the Borrowers, other than real estate, including all Company-owned life insurance policies, all accounts receivable, all inventory, all intellectual property, all equipment and all other personal property.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and Restated Loan Agreement includes customary representations and warranties and requires the Borrowers to comply with customary affirmative and negative covenants, including, among other things, a financial covenant requiring the maintenance of a ratio of (x) EBITDA net of capital expenditures (to the extent not paid using Borrowed Money) to (y) the sum of debt service and dividends paid, in each case as of the last day of each month for the trailing twelve-month period ending on such day, of at least 1.0 to 1.0, if an event of default has occurred and is continuing or Availability has fallen below 10% of the Revolving Commitment at any time (until such time as both Availability is 10% or greater and no event of default exists, for the 30 consecutive days prior to such month end).</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Amended and Restated Loan Agreement also limits the Borrowers’ right to incur other indebtedness, make certain investments and create liens upon our assets, subject to certain exceptions, among other restrictions. The Amended and Restated Loan Agreement does not restrict the Company’s ability to pay cash dividends on, or repurchase, shares of its common stock, subject to (a) no default existing prior to or resulting from such dividend or repurchase,</w:t>
      </w:r>
    </w:p>
    <w:p>
      <w:pPr>
        <w:spacing w:after="0" w:line="1" w:lineRule="exact"/>
        <w:rPr>
          <w:sz w:val="20"/>
          <w:szCs w:val="20"/>
          <w:color w:val="auto"/>
        </w:rPr>
      </w:pPr>
    </w:p>
    <w:p>
      <w:pPr>
        <w:jc w:val="both"/>
        <w:ind w:firstLine="8"/>
        <w:spacing w:after="0" w:line="255"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is not less than 15% of the Revolving Commitment for each of the preceding 45 days prior to announcement of such dividend or repurchase and after giving pro forma effect to such dividend or repurchase and (c) if Availability is less than 20% of the Revolving Commitment on any day in such 45-day period, the Borrowers are in compliance with the financial covenant described above after giving effect to such dividend or repurchase.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$598,000 in previous fiscal years in debt issuance costs in connection with our term loans. As of May 3, 2026, unamortized loan costs of $444,000 were recorded in other assets on our condensed consolidated balance sheets.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May 3, 2026, there were no outstanding loans, other than $3.2 million face amount of letters of credit. We had $54.2 million of Availability based on the current Borrowing Base. There were no additional borrowings outstanding under the Amended and Restated Loan Agreement as of May 3,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refer you to the discussion of Earnings Per Share in Note 1. Summary of Significant Accounting Policies, in the financial statements included in our 2026 Annual Report, for additional information concerning the calculation of earnings per share (EPS).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stock awards are designed to encourage retention and to provide an incentive for increasing shareholder value. We have issued restricted stock awards to non-employee members of the board of directors since 2006 and to certain non-executive employees since 2014. We have issued RSUs to certain senior executives since fiscal 2012 under the Company’s Stock Incentive Plan. Each RSU entitles an executive to receive one share of the Company’s common stock and vests in three equal annual installments, with one-third vesting at the end of each service period, if the executive remains continuously employed with the Company through the end of a three-year service period. The RSUs may be paid in shares of our common stock, cash or both at the discretion of the Compensation Committee of our board of directors. We have issued PSUs to certain senior executives since fiscal 2019 under the Company’s Stock Incentive Plan. Each PSU entitles the executive officer to receive one share of our common stock based on the achievement of two specified performance conditions if the executive officer remains continuously employed through the end of the three-year performance period, one target is the Company’s annual EPS growth over the performance period and the other target is the Company’s total shareholder return during the performance period compared to the Company’s peer group. The payout or settlement of the PSUs will be made in shares of our common stock.</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grant these types of awards annually in the future. The following table sets forth the number of outstanding restricted stock awards and RSUs and PSUs, net of forfeitures and vested shares, as of the fiscal period-end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May 3,</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1,</w:t>
            </w:r>
          </w:p>
        </w:tc>
      </w:tr>
      <w:tr>
        <w:trPr>
          <w:trHeight w:val="238"/>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r>
      <w:tr>
        <w:trPr>
          <w:trHeight w:val="210"/>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109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RSUs and PSUs</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210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w w:val="88"/>
              </w:rPr>
              <w:t>319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restricted shares, RSUs and PSUs awarded that have not yet vested are considered when computing diluted earnings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2027 first quarter, we purchased and retired 7,615 shares of our common stock (at an average price of $12.53 per share) under the $5 million share repurchase authorization approved by our board of directors in fiscal 2026, with approximately $4.9 million remaining available for future purchases under the authorization. These repurchases reduced our total outstanding shares and, consequently, reduced the weighted outstanding shares used in our calculation of earnings per share for the fiscal 2027 first quarter shown below.</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35"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1" w:lineRule="exact"/>
        <w:rPr>
          <w:sz w:val="20"/>
          <w:szCs w:val="20"/>
          <w:color w:val="auto"/>
        </w:rPr>
      </w:pPr>
    </w:p>
    <w:p>
      <w:pPr>
        <w:jc w:val="right"/>
        <w:ind w:right="400"/>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May 3,</w:t>
      </w:r>
      <w:r>
        <w:rPr>
          <w:sz w:val="20"/>
          <w:szCs w:val="20"/>
          <w:color w:val="auto"/>
        </w:rPr>
        <w:tab/>
      </w:r>
      <w:r>
        <w:rPr>
          <w:rFonts w:ascii="Times New Roman" w:cs="Times New Roman" w:eastAsia="Times New Roman" w:hAnsi="Times New Roman"/>
          <w:sz w:val="18"/>
          <w:szCs w:val="18"/>
          <w:color w:val="auto"/>
        </w:rPr>
        <w:t>May 4,</w:t>
      </w:r>
    </w:p>
    <w:p>
      <w:pPr>
        <w:spacing w:after="0" w:line="23"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14605</wp:posOffset>
            </wp:positionV>
            <wp:extent cx="15601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Unvested participating restricted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earnings allocated to unvested participating restricted stock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 (loss) from continuing operations available for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 (loss) from discontinued operations available for common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 (loss) available for common shareholders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tabs>
          <w:tab w:leader="none" w:pos="700" w:val="left"/>
          <w:tab w:leader="none" w:pos="1320" w:val="left"/>
          <w:tab w:leader="none" w:pos="21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1,061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5601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1" w:lineRule="exact"/>
        <w:rPr>
          <w:sz w:val="20"/>
          <w:szCs w:val="20"/>
          <w:color w:val="auto"/>
        </w:rPr>
      </w:pPr>
    </w:p>
    <w:p>
      <w:pPr>
        <w:ind w:left="2280" w:hanging="1331"/>
        <w:spacing w:after="0"/>
        <w:tabs>
          <w:tab w:leader="none" w:pos="2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33</w:t>
      </w:r>
    </w:p>
    <w:p>
      <w:pPr>
        <w:spacing w:after="0" w:line="23" w:lineRule="exact"/>
        <w:rPr>
          <w:sz w:val="20"/>
          <w:szCs w:val="20"/>
          <w:color w:val="auto"/>
        </w:rPr>
      </w:pPr>
    </w:p>
    <w:p>
      <w:pPr>
        <w:ind w:left="2400" w:hanging="1451"/>
        <w:spacing w:after="0"/>
        <w:tabs>
          <w:tab w:leader="none" w:pos="2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3" w:lineRule="exact"/>
        <w:rPr>
          <w:sz w:val="20"/>
          <w:szCs w:val="20"/>
          <w:color w:val="auto"/>
        </w:rPr>
      </w:pPr>
    </w:p>
    <w:p>
      <w:pPr>
        <w:jc w:val="both"/>
        <w:ind w:left="72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1,033</w:t>
      </w:r>
      <w:r>
        <w:rPr>
          <w:sz w:val="20"/>
          <w:szCs w:val="20"/>
          <w:color w:val="auto"/>
        </w:rPr>
        <w:tab/>
      </w:r>
      <w:r>
        <w:rPr>
          <w:rFonts w:ascii="Times New Roman" w:cs="Times New Roman" w:eastAsia="Times New Roman" w:hAnsi="Times New Roman"/>
          <w:sz w:val="18"/>
          <w:szCs w:val="18"/>
          <w:color w:val="auto"/>
        </w:rPr>
        <w:t>(647)</w:t>
      </w:r>
    </w:p>
    <w:p>
      <w:pPr>
        <w:spacing w:after="0" w:line="23" w:lineRule="exact"/>
        <w:rPr>
          <w:sz w:val="20"/>
          <w:szCs w:val="20"/>
          <w:color w:val="auto"/>
        </w:rPr>
      </w:pPr>
    </w:p>
    <w:p>
      <w:pPr>
        <w:ind w:left="1980" w:hanging="911"/>
        <w:spacing w:after="0"/>
        <w:tabs>
          <w:tab w:leader="none" w:pos="1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(2,438)</w:t>
      </w:r>
    </w:p>
    <w:p>
      <w:pPr>
        <w:spacing w:after="0" w:line="22"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1,033</w:t>
      </w:r>
      <w:r>
        <w:rPr>
          <w:rFonts w:ascii="Times New Roman" w:cs="Times New Roman" w:eastAsia="Times New Roman" w:hAnsi="Times New Roman"/>
          <w:sz w:val="18"/>
          <w:szCs w:val="18"/>
          <w:color w:val="auto"/>
        </w:rPr>
        <w:t>(3,085)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15601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6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for basic earnings per share</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10,644</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unvested restricted stock, RSU and PSU awards</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for diluted earnings per share</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10,778</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 (loss) from continuing operations per share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 (loss) from discontinued operations per share</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r>
      <w:tr>
        <w:trPr>
          <w:trHeight w:val="263"/>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earnings / (loss) per share</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8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 (loss) from continuing operations per share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 (loss) from discontinued operations per share</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 (loss) per share</w:t>
            </w: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2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net losses in the first quarter of fiscal 2026, approximately 133,000 shares would have been antidilutive and are therefore excluded from the calculation of earnings per share for such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$326,000 and income tax benefits of $164,000 for the fiscal 2027 and fiscal 2026 first quarters from continuing operations, respectively, and tax benefits of $599,000 on the pretax loss from discontinued operations in fiscal 2026 first quarter. The consolidated effective tax rates for these periods were 23.5% and 21.1%, respectively. The increase in the effective tax rate for the current fiscal quarter was primarily due to relative impact of restricted stock compensation when compared to operating profits in the current year period and operating losses in the prior year period, as well as a change in valuation allowance recorded in the prior year period for a state loss carryforward.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and non-routine positions have been identified as uncertain tax positions.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years ending January 28, 2024 through February 1, 2026 remain subject to examination by federal and state taxing authorities.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a public entity, we are required to present disaggregated information by segment using the management approach. The objective of this approach is to allow users of our financial statements to see our business through the eyes of management based upon the way management reviews performance and makes decisions. The management approach requires segment information to be reported based on how management internally evaluates the operating performance of the Company’s business units or segments. The objective of this approach is to meet the basic principles of segment reporting as outlined in ASC 280 </w:t>
      </w: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xml:space="preserve"> (“ASC 280”), which are to allow the users of our financial statements to:</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better understand our performance;</w:t>
      </w:r>
    </w:p>
    <w:p>
      <w:pPr>
        <w:spacing w:after="0" w:line="306" w:lineRule="exact"/>
        <w:rPr>
          <w:sz w:val="20"/>
          <w:szCs w:val="20"/>
          <w:color w:val="auto"/>
        </w:rPr>
      </w:pPr>
    </w:p>
    <w:p>
      <w:pPr>
        <w:ind w:left="660" w:right="6520"/>
        <w:spacing w:after="0" w:line="629" w:lineRule="auto"/>
        <w:rPr>
          <w:sz w:val="20"/>
          <w:szCs w:val="20"/>
          <w:color w:val="auto"/>
        </w:rPr>
      </w:pPr>
      <w:r>
        <w:rPr>
          <w:rFonts w:ascii="Times New Roman" w:cs="Times New Roman" w:eastAsia="Times New Roman" w:hAnsi="Times New Roman"/>
          <w:sz w:val="17"/>
          <w:szCs w:val="17"/>
          <w:color w:val="auto"/>
        </w:rPr>
        <w:t>better assess our prospects for future net cash flows; and make more informed judgments about us as a whole.</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our segments as those operations our chief operating decision maker (“CODM”) regularly reviews to analyze performance and allocate resources. The Company’s CODM is the Chief Executive Officer. The CODM regularly reviews net sales, gross profit, and operating income by segment as the primary measures of segment performance. The CODM reviews net sales as a primary indicator of operational performance, assessing how much revenue is brought in from core business activities, after returns, allowances, and discounts, which reflects demand and execution of each segment’s strategy. Gross profit, which is derived from net sales and cost of sales, is reviewed by the CODM as a diagnostic metric, particularly useful in evaluating margin trends. Operating income is the key profitability metric used to assess performance across segments and make decisions related to resource allocation, including capital expenditures, headcount, and other investment initiatives. Each of these metrics are considered in budgeting, forecasting, and operational planning decisions.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financial reporting purposes, we are organized into two reportable segments and “All Other”, which includes the remainder of our businesses. The following tables present segment information for the periods, and as of the dates, indicated.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Hooker Branded</w:t>
      </w:r>
      <w:r>
        <w:rPr>
          <w:rFonts w:ascii="Times New Roman" w:cs="Times New Roman" w:eastAsia="Times New Roman" w:hAnsi="Times New Roman"/>
          <w:sz w:val="18"/>
          <w:szCs w:val="18"/>
          <w:color w:val="auto"/>
        </w:rPr>
        <w:t>, consisting of the operations of our imported Hooker Casegoods and Hooker Upholstery businesses;</w:t>
      </w:r>
    </w:p>
    <w:p>
      <w:pPr>
        <w:spacing w:after="0" w:line="306"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Domestic Upholstery</w:t>
      </w:r>
      <w:r>
        <w:rPr>
          <w:rFonts w:ascii="Times New Roman" w:cs="Times New Roman" w:eastAsia="Times New Roman" w:hAnsi="Times New Roman"/>
          <w:sz w:val="18"/>
          <w:szCs w:val="18"/>
          <w:color w:val="auto"/>
        </w:rPr>
        <w:t>, which includes the domestic upholstery manufacturing operations of Bradington-Young, HF Custom (formerly Sam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Moore), Shenandoah Furniture and Sunset West; and</w:t>
      </w:r>
    </w:p>
    <w:p>
      <w:pPr>
        <w:spacing w:after="0" w:line="154"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All Other, </w:t>
      </w:r>
      <w:r>
        <w:rPr>
          <w:rFonts w:ascii="Times New Roman" w:cs="Times New Roman" w:eastAsia="Times New Roman" w:hAnsi="Times New Roman"/>
          <w:sz w:val="18"/>
          <w:szCs w:val="18"/>
          <w:color w:val="auto"/>
        </w:rPr>
        <w:t>consisting of Samuel Lawrence Hospitality product line, intercompany eliminations and operating segments that are not individually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reportable.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information for the periods, and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41"/>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461"/>
              <w:spacing w:after="0" w:line="188" w:lineRule="exact"/>
              <w:rPr>
                <w:sz w:val="20"/>
                <w:szCs w:val="20"/>
                <w:color w:val="auto"/>
              </w:rPr>
            </w:pPr>
            <w:r>
              <w:rPr>
                <w:rFonts w:ascii="Times New Roman" w:cs="Times New Roman" w:eastAsia="Times New Roman" w:hAnsi="Times New Roman"/>
                <w:sz w:val="18"/>
                <w:szCs w:val="18"/>
                <w:color w:val="auto"/>
              </w:rPr>
              <w:t>May 4,</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 Net</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2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rPr>
              <w:t>% Net</w:t>
            </w: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Sales</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Hooker Branded</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35,329</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37,108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Upholstery</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28,355</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40.8%</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28,913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5,768</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5,163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69,452</w:t>
            </w:r>
          </w:p>
        </w:tc>
        <w:tc>
          <w:tcPr>
            <w:tcW w:w="22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71,184</w:t>
            </w: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Hooker Branded</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21,412</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26,045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Upholstery</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23,389</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82.5%</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23,633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4,059</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48,860</w:t>
            </w:r>
          </w:p>
        </w:tc>
        <w:tc>
          <w:tcPr>
            <w:tcW w:w="22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53,249</w:t>
            </w: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Hooker Branded</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13,918</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11,065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Upholstery</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4,965</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17.5%</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5,280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1,709</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9"/>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20,592</w:t>
            </w:r>
          </w:p>
        </w:tc>
        <w:tc>
          <w:tcPr>
            <w:tcW w:w="22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29.6%</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and Administrative Expenses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Hooker Branded</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12,711</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11,037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Upholstery</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5,110</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18.0%</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648</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18,469</w:t>
            </w:r>
          </w:p>
        </w:tc>
        <w:tc>
          <w:tcPr>
            <w:tcW w:w="22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26.6%</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 Amortization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Upholstery</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545</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0.8%</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 (Loss)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Hooker Branded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1,206</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Upholstery</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(689)</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1,061</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 Income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Hooker Branded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(59)</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Upholstery</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 - Corporate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121</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 (benefit) - Corporate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326</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 (loss) from continuing operations - Corporate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1,061</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547"/>
        </w:trPr>
        <w:tc>
          <w:tcPr>
            <w:tcW w:w="5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80" w:type="dxa"/>
            <w:vAlign w:val="bottom"/>
            <w:tcBorders>
              <w:top w:val="single" w:sz="8" w:color="0000EE"/>
            </w:tcBorders>
          </w:tcPr>
          <w:p>
            <w:pPr>
              <w:spacing w:after="0"/>
              <w:rPr>
                <w:sz w:val="24"/>
                <w:szCs w:val="24"/>
                <w:color w:val="auto"/>
              </w:rPr>
            </w:pPr>
          </w:p>
        </w:tc>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color w:val="auto"/>
              </w:rPr>
              <w:t>May 4,</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Hooker Branded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Domestic Upholstery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Hooker Branded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Domestic Upholstery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Depreciation &amp; Amortization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Hooker Branded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Domestic Upholstery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1,016</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89</w:t>
            </w: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$124,000 and $280,000 in restructuring costs in the first quarter of fiscal 2027 and fiscal 2026, respectively, primarily related to severance. As of May 3, 2026 and February 1, 2026, we had accrued restructuring charges of approximately $211,000 and $298,000, respectively. The balance as of May 3, 2026 is expected to be paid during the next 12 months. The restructuring costs were recorded under cost of sales and selling and administrative expenses in the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February 1,</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4"/>
              </w:rPr>
              <w:t>%Total</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20"/>
                <w:szCs w:val="20"/>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Hooker Branded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147,722</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140,732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Upholstery</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53,115</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55,083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9,356</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16,507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210,193</w:t>
            </w: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212,322</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Goodwill and Intangibles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223,217</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225,891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 by product type are as follows:</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Net Sales (in thousands)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Thirteen Weeks Ended</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color w:val="auto"/>
              </w:rPr>
              <w:t>May 4,</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%Total</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Casegoods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35,449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Upholstery</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34,003</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36,685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9, 2026, our board of directors declared a quarterly cash dividend of $0.115 per share which will be paid on June 30, 2026 to shareholders of record at June 19, 2026.</w:t>
      </w:r>
    </w:p>
    <w:p>
      <w:pPr>
        <w:sectPr>
          <w:pgSz w:w="11900" w:h="16838" w:orient="portrait"/>
          <w:cols w:equalWidth="0" w:num="1">
            <w:col w:w="11240"/>
          </w:cols>
          <w:pgMar w:left="320" w:top="216" w:right="3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All references to the “Company,” “we,” “us” and “our” in this document refer to Hooker Furnishings Corporation and its consolidated subsidiaries, unless specifically referring to segment information. The Hooker Branded segment includes Hooker Casegoods and Hooker Upholstery. The Domestic Upholstery segment includes Bradington-Young, HF Custom (formerly Sam Moore), Shenandoah Furniture and Sunset West. “All Other” includes Samuel Lawrence Hospitality product line, intercompany eliminations and operating segments that are not individually reportable.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made in this report, including statements under Item 2. “Management’s Discussion and Analysis of Financial Condition and Results of Operations” and in the notes to the condensed consolidated financial statements included in this report, are not based on historical facts, but are forward-looking statements. These statements reflect our reasonable judgment with respect to future events and typically can be identified by the use of forward-looking terminology such as “believes,” “expects,” “projects,” “intends,” “plans,” “may,” “will,” “should,” “would,” “could,” or “anticipates,” or the negatives thereof, or other variations thereof, or comparable terminology, or by discussions of strategy. Forward-looking statements are subject to risks and uncertainties that could cause actual results to differ materially from those in the forward-looking statements. Those risks and uncertainties include but are not limited to:</w:t>
      </w:r>
    </w:p>
    <w:p>
      <w:pPr>
        <w:spacing w:after="0" w:line="189" w:lineRule="exact"/>
        <w:rPr>
          <w:sz w:val="20"/>
          <w:szCs w:val="20"/>
          <w:color w:val="auto"/>
        </w:rPr>
      </w:pPr>
    </w:p>
    <w:p>
      <w:pPr>
        <w:jc w:val="both"/>
        <w:ind w:firstLine="8"/>
        <w:spacing w:after="0" w:line="258" w:lineRule="auto"/>
        <w:tabs>
          <w:tab w:leader="none" w:pos="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acts or developments affecting the international markets from which we import products and certain components used in our Domestic Upholstery segment, including the imposition of duties or tariffs by the U.S. or foreign governments, such as the tariffs under Section 301, antidumping and countervailing duty orders on raw materials like timber and lumber, the potential for additional or higher reciprocal tariffs on imports from key sourcing countries, uncertainty regarding tariff refunds, and other trade restrictions, could affect our supply chain and increase our costs, and adversely affect our sales, earnings, and liquidity;</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business conditions, both domestically and internationally, including the current macroeconomic uncertainties and challenges to the retail environment for home furnishings along with instability in the financial and credit markets, in part due to elevated interest rates and housing market volatility, which can affect consumer discretionary spending, existing home sales, and demand for home furnishings, including their potential impact on (i) our sales, operating costs and access to financing, (ii) our customers, and (iii) our suppliers and their ability to obtain financing or generate the cash necessary to conduct their respective businesses;</w:t>
      </w:r>
    </w:p>
    <w:p>
      <w:pPr>
        <w:spacing w:after="0" w:line="18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long-lived assets, which can result in reduced earnings and net worth;</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furniture industry, which is particularly sensitive to changes in consumer confidence, the amount of consumers’ income available for discretionary purchases, and the availability and terms of consumer credit;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managing growth and change, and the risks associated with new business lines including the Margaritaville launch, acquisitions, the selection of suitable acquisition targets, restructurings, strategic alliances and international operations;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ultimate outcome of our cost reduction efforts, including the amounts and timing of savings realized and the ability to scale the business appropriately as customer demand increases or decreases based on the macroeconomic environment;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8"/>
        <w:spacing w:after="0" w:line="258" w:lineRule="auto"/>
        <w:tabs>
          <w:tab w:leader="none" w:pos="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offshore sourcing and the cost of imported goods, including fluctuation in the prices of purchased finished goods, customs issues, tariffs, freight and fuel costs, including the price and availability of shipping containers, ocean vessels, domestic trucking, and warehousing costs and the risk that a disruption in our supply chain or the transportation and handling industries, including labor stoppages, strikes, slowdowns, or geopolitical conflicts or instability affecting key global shipping routes and our suppliers, could adversely affect our ability to timely fulfill customer orders;</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2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inadequacy, security breaches or integration failure of our information systems or information technology infrastructure, related service providers or the internet or other related issues including unauthorized disclosures of confidential information, hacking or other cybersecurity threats or inadequate levels of cyber insurance or risks not covered by cyber insurance;</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forecasting demand for our imported products and raw materials used in our domestic operations;</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collect amounts owed to us or significant delays in collecting such amounts;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Amended and Restated Loan Agreement, including the fact that our asset-based lending facility is secured by substantially all of our assets and contains provisions which limit the amount of our future borrowings under the facility, as well as financial and negative covenants that, among other things, may limit our ability to incur additional indebtedness;</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domestic manufacturing operations, including fluctuations in capacity utilization and the prices and availability of key raw materials, as well as changes in transportation, warehousing and domestic labor costs, availability of skilled labor, and environmental compliance and remediation costs;</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self-insured healthcare and workers compensation plans, which utilize stop-loss insurance for aggregate claims above specified thresholds and can be impacted by higher healthcare inflation and expenditures, all of which may cause our healthcare and workers compensation costs to rise unexpectedly, adversely affecting our earnings, financial condition, and liquidity;</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and damage (including those due to weather) affecting our Virginia or North Carolina warehouses, our Virginia, North Carolina or California administrative and manufacturing facilities, our High Point, Las Vegas, and Atlanta showrooms or our representative office or warehouse in Vietnam;</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foreign government regulations and in the political, social and economic climates of the countries from which we source our products;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product defects, including higher than expected costs associated with product quality and safety, regulatory compliance costs related to the sale of consumer products and costs related to defective or non-compliant products, product liability claims and costs to recall defective products and the adverse effects of negative media coverage;</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costs and time spent by our associates related to the implementation of our Enterprise Resource Planning system (“ERP”), including costs resulting from unanticipated disruptions to our business;</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distribution through third-party retailers, such as non-binding dealership arrangements;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monetary policies and fluctuations in foreign currency exchange rates affecting the price of our imported products and raw materials;</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in the furniture industry;</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including increased demand for lower-priced furniture, especially in light of recently imposed tariffs on imported furniture;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specifically related to the concentrations of a material part of our sales and accounts receivable in only a few customers, including the loss of several large customers through business consolidations, failures or other reasons, or the loss of significant sales programs with major customers;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firstLine="8"/>
        <w:spacing w:after="0" w:line="282"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concerning the allocation of capital including the extent to which we repurchase shares of our common stock which will affect shares outstanding and earnings per share (EPS);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actions by activist stockholders that could divert management attention, create uncertainty around our strategic direction, disrupt relationships with key shareholders, increase our costs, drive stock price volatility, and otherwise materially impact our business, financial condition, results of operations, and cash flows.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forward-looking statements could be wrong in light of these and other risks, uncertainties and assumptions. The future events, developments or results described in this report could turn out to be materially different. Any forward-looking statement we make speaks only as of the date of that statement, and we undertake no obligation, except as required by law, to update any forward-looking statements whether as a result of new information, future events or otherwise and you should not expect us to do 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our business is subject to significant risks and uncertainties, any of which can adversely affect our business, results of operations, financial condition or future prospects. For a discussion of risks and uncertainties that we face, see the Forward-Looking Statements detailed above and Item 1A, “Risk Factors” in our 2026 Annual Report.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should also be aware that while we occasionally communicate with securities analysts and others, it is against our policy to selectively disclose to them any material nonpublic information or other confidential commercial information. Accordingly, investors should not assume that we agree with any projection, forecast or report issued by any analyst regardless of the content of the statement or report, as we have a policy against confirming information issued by others.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Quarterly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includes our unaudited condensed consolidated financial statements for the 2027 fiscal year thirteen-week period (also referred to as “three months,” “three-month period,” “quarter,” “first quarter” or “quarterly period”) that began February 2, 2026 and ended May 3, 2026. This report discusses our results of operations for this period compared to the 2026 fiscal year thirteen-week period that began February 3, 2025 and ended May 4, 2025; and our financial condition as of May 3, 2026 compared to February 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this report to:</w:t>
      </w:r>
    </w:p>
    <w:p>
      <w:pPr>
        <w:spacing w:after="0" w:line="225" w:lineRule="exact"/>
        <w:rPr>
          <w:sz w:val="20"/>
          <w:szCs w:val="20"/>
          <w:color w:val="auto"/>
        </w:rPr>
      </w:pPr>
    </w:p>
    <w:p>
      <w:pPr>
        <w:ind w:left="660" w:right="880"/>
        <w:spacing w:after="0" w:line="594" w:lineRule="auto"/>
        <w:rPr>
          <w:sz w:val="20"/>
          <w:szCs w:val="20"/>
          <w:color w:val="auto"/>
        </w:rPr>
      </w:pPr>
      <w:r>
        <w:rPr>
          <w:rFonts w:ascii="Times New Roman" w:cs="Times New Roman" w:eastAsia="Times New Roman" w:hAnsi="Times New Roman"/>
          <w:sz w:val="18"/>
          <w:szCs w:val="18"/>
          <w:color w:val="auto"/>
        </w:rPr>
        <w:t>the 2027 fiscal year and comparable terminology mean the fiscal year that began February 2, 2026, and will end January 31, 2027; and the 2026 fiscal year and comparable terminology mean the fiscal year that began February 3, 2025, and ended February 1,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presented in the tables below are in thousands except for per share data.</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including the related notes, contained elsewhere in this quarterly report. We also encourage users of this report to familiarize themselves with all our recent public filings made with the SEC, especially our 2026 Annual Report. Our 2026 Annual Report contains critical information regarding known risks and uncertainties that we face, critical accounting policies and information on commitments and contractual obligations that are not reflected in our condensed consolidated financial statements, as well as a more thorough and detailed discussion of our corporate strategy and new business initiatives.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2026 Annual Report and other public filings made with the SEC are available, without charge, at www.sec.gov and at http://investors.hookerfurnishings.com.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Hooker Furnishings Corporation, incorporated in Virginia in 1924, is a designer, marketer, and importer of casegoods (wooden and metal furniture), leather furniture, fabric-upholstered furniture, lighting, accessories, and home décor for the residential, hospitality and contract markets. We also domestically manufacture premium residential custom leather, custom fabric-upholstered furniture and outdoor furniture.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Orders and Backlog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discussion below and herein, we reference changes in sales orders or “orders” and sales order backlog (unshipped orders at a point in time) or “backlog” over and compared to certain periods of time and changes discussed are in sales dollars and not units of inventory, unless stated otherwise. We believe orders are generally good current indicators of sales momentum and business conditions. If the items ordered are in stock and the customer has requested immediate delivery, we generally ship products in about seven days or less from receipt of order; however, orders may be shipped later if they are out of stock or there are production or shipping delays or the customer has requested the order to be shipped at a later date or has requested that we ship the order “in-full”, meaning all products ordered for the end-user must ship together. It is our policy and industry practice to allow order cancellation for casegoods up to the time of shipment or, in the case of container direct orders, up until the time the container is booked with the ocean freight carrier; therefore, customer orders for casegoods are not firm. However, domestically produced upholstered products are predominantly custom-built and consequently, cannot be cancelled once the leather or fabric has been cut. Additionally, our hospitality products are highly customized and are generally not cancellable. Similarly, for our outdoor furnishings, most orders require a deposit upon order and the balance before production is started and hence are generally not cancellable.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Hooker Branded and Domestic Upholstery segments, we generally consider backlogs to be one helpful indicator of sales for the upcoming 30-day period, but because of our relatively quick delivery and our cancellation policies, we do not consider order backlogs to be a reliable indicator of expected long-term sales.</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3, 2026, our backlog of unshipped orders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5688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Hooker Branded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Upholstery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All Other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Order Backlog</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(Dollars in 000s)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color w:val="auto"/>
              </w:rPr>
              <w:t>February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color w:val="auto"/>
              </w:rPr>
              <w:t>May 4,</w:t>
            </w:r>
          </w:p>
        </w:tc>
      </w:tr>
      <w:tr>
        <w:trPr>
          <w:trHeight w:val="238"/>
        </w:trPr>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r>
      <w:tr>
        <w:trPr>
          <w:trHeight w:val="403"/>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17,491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16,490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r>
      <w:tr>
        <w:trPr>
          <w:trHeight w:val="229"/>
        </w:trPr>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19,952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19,557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19,401</w:t>
            </w:r>
          </w:p>
        </w:tc>
      </w:tr>
      <w:tr>
        <w:trPr>
          <w:trHeight w:val="238"/>
        </w:trPr>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7,807</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0"/>
        </w:trPr>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453"/>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39,135</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43,854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37,443</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600" w:space="720"/>
            <w:col w:w="3920"/>
          </w:cols>
          <w:pgMar w:left="320" w:top="229"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backlog at the end of the first quarter of fiscal 2027 increased 4.5% compared to the prior-year first quarter. The increase was primarily driven by higher backlog in Hooker Branded. Domestic Upholstery backlog increased modestly compared to both the prior-year first quarter and fiscal 2026 year-end, driven by higher private label orders. All Other backlog decreased significantly compared to both periods, primarily due to large hospitality shipments during the current quarter and the project-based nature of the hospitality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Despite continued weakness in the housing market, soft furniture and home furnishings retail sales, and persistent macroeconomic challenges, the Company generated operating income of $1.6 million in the first quarter of fiscal 2027, compared to an operating loss of $498,000 in the prior-year period. This $2.1 million improvement was achieved despite a 2.4% decrease in consolidated net sales and reflects the impact of improved gross margin and cost-reduction initiatives implemented in prior periods, and the Company’s progress toward becoming a leaner, higher-margin business with a lower break-even point.</w:t>
      </w: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net sales decreased $1.7 million, or 2.4%, in the first quarter of fiscal 2027 due to lower sales in Hooker Branded and Domestic Upholstery, partially offset by higher shipments in the All Other hospitality business. Despite a decrease in net sales, consolidated gross profit increased $2.7 million and gross margin improved 440 basis points, primarily driven by improved profitability in Hooker Branded. The Company generated operating income of $1.6 million for the quarter, driven by operating income in Hooker Branded and All Other, partially offset by an operating loss in Domestic Upholstery. Consolidated net income from continuing operations was $1.1 million, or $0.10 per diluted share.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improved profitability, the Company significantly improved its liquidity and financial flexibility during the quarter. Cash and cash equivalents increased to $10.6 million at quarter-end, with no outstanding term loan balance, compared to $1.1 million of cash and $3.6 million outstanding under the term loan at prior fiscal year-end. In April 2026, the Company began repurchasing shares under its previously authorized $5 million share repurchase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Tariff Update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February 2026, the U.S. Supreme Court ruled that certain tariffs imposed under the International Emergency Economic Powers Act (“IEEPA”) were not authorized by statute. In March 2026, the U.S. Court of International Trade directed U.S. Customs and Border Protection to implement a process for refunding previously collected duties.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fiscal 2027 first quarter, the Company submitted refund claims totaling approximately $8 million. Due to uncertainty regarding the ultimate recoverability, timing and amount of any refunds, the Company did not recognize a receivable or any reduction of cost of sales or inventory related to these claims in its unaudited condensed consolidated financial statements for the first quarter of fiscal 2027. Under U.S. GAAP, the Company is applying a gain contingency model to evaluate potential tariff refunds, recognizing such amounts only when recovery is realized or realizable. The Company continues to monitor the recoverability of potential tariff refunds and the potential impact of any new or additional tariffs imposed under other legal authorities.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fiscal 2027 first quarter performance is discussed in greater detail below under “Results of Operations – Continuing Operations” and “Results of Operations –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Continuing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relationship to net sales of certain items included in the condensed consolidated statements of income included in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8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01"/>
        </w:trPr>
        <w:tc>
          <w:tcPr>
            <w:tcW w:w="50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20" w:type="dxa"/>
            <w:vAlign w:val="bottom"/>
            <w:tcBorders>
              <w:top w:val="single" w:sz="8" w:color="auto"/>
            </w:tcBorders>
            <w:gridSpan w:val="2"/>
          </w:tcPr>
          <w:p>
            <w:pPr>
              <w:jc w:val="right"/>
              <w:ind w:right="600"/>
              <w:spacing w:after="0" w:line="201" w:lineRule="exact"/>
              <w:rPr>
                <w:sz w:val="20"/>
                <w:szCs w:val="20"/>
                <w:color w:val="auto"/>
              </w:rPr>
            </w:pPr>
            <w:r>
              <w:rPr>
                <w:rFonts w:ascii="Times New Roman" w:cs="Times New Roman" w:eastAsia="Times New Roman" w:hAnsi="Times New Roman"/>
                <w:sz w:val="18"/>
                <w:szCs w:val="18"/>
                <w:b w:val="1"/>
                <w:bCs w:val="1"/>
                <w:color w:val="auto"/>
              </w:rPr>
              <w:t>May 3,</w:t>
            </w:r>
          </w:p>
        </w:tc>
        <w:tc>
          <w:tcPr>
            <w:tcW w:w="110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color w:val="auto"/>
              </w:rPr>
              <w:t>May 4,</w:t>
            </w:r>
          </w:p>
        </w:tc>
        <w:tc>
          <w:tcPr>
            <w:tcW w:w="160" w:type="dxa"/>
            <w:vAlign w:val="bottom"/>
          </w:tcPr>
          <w:p>
            <w:pPr>
              <w:spacing w:after="0"/>
              <w:rPr>
                <w:sz w:val="17"/>
                <w:szCs w:val="17"/>
                <w:color w:val="auto"/>
              </w:rPr>
            </w:pPr>
          </w:p>
        </w:tc>
      </w:tr>
      <w:tr>
        <w:trPr>
          <w:trHeight w:val="238"/>
        </w:trPr>
        <w:tc>
          <w:tcPr>
            <w:tcW w:w="5080" w:type="dxa"/>
            <w:vAlign w:val="bottom"/>
            <w:tcBorders>
              <w:bottom w:val="single" w:sz="8" w:color="CCEEFF"/>
            </w:tcBorders>
          </w:tcPr>
          <w:p>
            <w:pPr>
              <w:spacing w:after="0"/>
              <w:rPr>
                <w:sz w:val="20"/>
                <w:szCs w:val="20"/>
                <w:color w:val="auto"/>
              </w:rPr>
            </w:pPr>
          </w:p>
        </w:tc>
        <w:tc>
          <w:tcPr>
            <w:tcW w:w="34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70.4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29.6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4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26.6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4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 (loss)</w:t>
            </w:r>
          </w:p>
        </w:tc>
        <w:tc>
          <w:tcPr>
            <w:tcW w:w="4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 income</w:t>
            </w:r>
          </w:p>
        </w:tc>
        <w:tc>
          <w:tcPr>
            <w:tcW w:w="4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 (Loss) from continuing operations before income taxes</w:t>
            </w:r>
          </w:p>
        </w:tc>
        <w:tc>
          <w:tcPr>
            <w:tcW w:w="4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4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(loss) from continuing operations</w:t>
            </w:r>
          </w:p>
        </w:tc>
        <w:tc>
          <w:tcPr>
            <w:tcW w:w="4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r>
      <w:tr>
        <w:trPr>
          <w:trHeight w:val="547"/>
        </w:trPr>
        <w:tc>
          <w:tcPr>
            <w:tcW w:w="50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Fiscal 2027 First Quarter Compared to Fiscal 2026 First Quarter</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4"/>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color w:val="auto"/>
              </w:rPr>
              <w:t>May 4,</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 Net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rPr>
              <w:t>% Net</w:t>
            </w:r>
          </w:p>
        </w:tc>
        <w:tc>
          <w:tcPr>
            <w:tcW w:w="200" w:type="dxa"/>
            <w:vAlign w:val="bottom"/>
          </w:tcPr>
          <w:p>
            <w:pPr>
              <w:spacing w:after="0"/>
              <w:rPr>
                <w:sz w:val="20"/>
                <w:szCs w:val="20"/>
                <w:color w:val="auto"/>
              </w:rPr>
            </w:pPr>
          </w:p>
        </w:tc>
        <w:tc>
          <w:tcPr>
            <w:tcW w:w="9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Borders>
              <w:bottom w:val="single" w:sz="8" w:color="CCEEFF"/>
            </w:tcBorders>
            <w:gridSpan w:val="2"/>
          </w:tcPr>
          <w:p>
            <w:pPr>
              <w:spacing w:after="0"/>
              <w:rPr>
                <w:sz w:val="20"/>
                <w:szCs w:val="20"/>
                <w:color w:val="auto"/>
              </w:rPr>
            </w:pPr>
          </w:p>
        </w:tc>
        <w:tc>
          <w:tcPr>
            <w:tcW w:w="11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Hooker Branded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35,329</w:t>
            </w: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37,108</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Upholstery</w:t>
            </w:r>
          </w:p>
        </w:tc>
        <w:tc>
          <w:tcPr>
            <w:tcW w:w="18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28,355</w:t>
            </w:r>
          </w:p>
        </w:tc>
        <w:tc>
          <w:tcPr>
            <w:tcW w:w="15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40.8%</w:t>
            </w: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28,913</w:t>
            </w: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5,768</w:t>
            </w:r>
          </w:p>
        </w:tc>
        <w:tc>
          <w:tcPr>
            <w:tcW w:w="15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5,163</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Borders>
              <w:right w:val="single" w:sz="8" w:color="CCEEFF"/>
            </w:tcBorders>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232"/>
        </w:trPr>
        <w:tc>
          <w:tcPr>
            <w:tcW w:w="3220" w:type="dxa"/>
            <w:vAlign w:val="bottom"/>
            <w:gridSpan w:val="2"/>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69,452</w:t>
            </w:r>
          </w:p>
        </w:tc>
        <w:tc>
          <w:tcPr>
            <w:tcW w:w="6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71,184</w:t>
            </w:r>
          </w:p>
        </w:tc>
        <w:tc>
          <w:tcPr>
            <w:tcW w:w="4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2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FY27 Q1 vs.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FY27 Q1 vs.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FY26 Q1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Average Selling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FY26 Q1</w:t>
            </w:r>
          </w:p>
        </w:tc>
        <w:tc>
          <w:tcPr>
            <w:tcW w:w="0" w:type="dxa"/>
            <w:vAlign w:val="bottom"/>
          </w:tcPr>
          <w:p>
            <w:pPr>
              <w:spacing w:after="0"/>
              <w:rPr>
                <w:sz w:val="1"/>
                <w:szCs w:val="1"/>
                <w:color w:val="auto"/>
              </w:rPr>
            </w:pPr>
          </w:p>
        </w:tc>
      </w:tr>
      <w:tr>
        <w:trPr>
          <w:trHeight w:val="238"/>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 Volume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Price (“ASP”)</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Hooker Branded</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-20.0%</w:t>
            </w:r>
          </w:p>
        </w:tc>
        <w:tc>
          <w:tcPr>
            <w:tcW w:w="15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Hooker Branded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Upholstery</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-6.2%</w:t>
            </w:r>
          </w:p>
        </w:tc>
        <w:tc>
          <w:tcPr>
            <w:tcW w:w="308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Domestic Upholstery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161.3%</w:t>
            </w:r>
          </w:p>
        </w:tc>
        <w:tc>
          <w:tcPr>
            <w:tcW w:w="15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w:t>
            </w:r>
          </w:p>
        </w:tc>
        <w:tc>
          <w:tcPr>
            <w:tcW w:w="1540" w:type="dxa"/>
            <w:vAlign w:val="bottom"/>
            <w:gridSpan w:val="5"/>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decreased $1.7 million, or 2.4%, in the first quarter of fiscal 2027, driven primarily by lower net sales at Hooker Branded and, to a lesser extent, Domestic Upholstery. These decreases were partially offset by increased net sales in All Other, primarily due to significantly higher shipments during the quarter.</w:t>
      </w:r>
    </w:p>
    <w:p>
      <w:pPr>
        <w:spacing w:after="0" w:line="17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Hooker Branded segment’s net sales decreased $1.8 million, or 4.8%, in the first quarter of fiscal 2027, driven by lower unit volume, partially offset by higher average selling prices resulting from price increases implemented to mitigate higher product costs and tariffs. Approximately 70% of the net sales decrease was attributable to the imported upholstery line, primarily due to inventory constraints, including lower in-stock positions, production delays, product mix transitions and softer retail demand. The casegoods line also experienced production delays earlier in the year, which improved by the end of the quarter.</w:t>
      </w:r>
    </w:p>
    <w:p>
      <w:pPr>
        <w:spacing w:after="0" w:line="183"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The Domestic Upholstery segment’s net sales decreased $558,000, or 1.9%, in the first quarter of fiscal 2027. Results varied by division, with a 28% increase in private-label sales, supported by strong incoming orders that began in the prior fiscal year, and flat net sales in custom fabric upholstery. These results were more than offset by a 35% sales decrease in upscale leather furniture and a slight decrease in the outdoor furnishings business.</w:t>
      </w:r>
    </w:p>
    <w:p>
      <w:pPr>
        <w:spacing w:after="0" w:line="17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All Other net sales increased $605,000, or 11.7%, in the first quarter of fiscal 2027, primarily driven by a sales increase of more than 20% in the hospitality business due to higher shipments during the current quarter. Net sales in the project-based business vary based on the timing of shipments, which may cause fluctuations between periods.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2"/>
        </w:trPr>
        <w:tc>
          <w:tcPr>
            <w:tcW w:w="128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Gross Profit and Margin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jc w:val="center"/>
              <w:ind w:right="1150"/>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ind w:left="120"/>
              <w:spacing w:after="0" w:line="188" w:lineRule="exact"/>
              <w:rPr>
                <w:sz w:val="20"/>
                <w:szCs w:val="20"/>
                <w:color w:val="auto"/>
              </w:rPr>
            </w:pPr>
            <w:r>
              <w:rPr>
                <w:rFonts w:ascii="Times New Roman" w:cs="Times New Roman" w:eastAsia="Times New Roman" w:hAnsi="Times New Roman"/>
                <w:sz w:val="18"/>
                <w:szCs w:val="18"/>
                <w:color w:val="auto"/>
              </w:rPr>
              <w:t>May 4,</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96"/>
              </w:rPr>
              <w:t>% Net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w w:val="96"/>
              </w:rPr>
              <w:t>% Net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4"/>
              </w:rPr>
              <w:t>Sales</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4"/>
              </w:rPr>
              <w:t>Sales</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Hooker Branded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13,918</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39.4%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11,065</w:t>
            </w: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4"/>
              </w:rPr>
              <w:t>29.8%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Upholstery</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4,965</w:t>
            </w:r>
          </w:p>
        </w:tc>
        <w:tc>
          <w:tcPr>
            <w:tcW w:w="8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17.5%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5,280</w:t>
            </w:r>
          </w:p>
        </w:tc>
        <w:tc>
          <w:tcPr>
            <w:tcW w:w="7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18.3%</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1,709</w:t>
            </w: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29.6%</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1,590</w:t>
            </w: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4"/>
              </w:rPr>
              <w:t>30.8%</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2"/>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20,592</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29.6%</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25.2%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gross profit exceeded prior-year period by $2.7 million or 440 basis points, driven by a significant increase at Hooker Branded.</w:t>
      </w:r>
    </w:p>
    <w:p>
      <w:pPr>
        <w:spacing w:after="0" w:line="225"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Hooker Branded segment’s gross profit increased $2.9 million in the first quarter of fiscal 2027, and gross margin increased 960 basis points, despite a 4.8% decrease in net sales. The increases in gross profit and margin were primarily attributable to higher average selling prices. The increase was partially offset by warehousing and distribution expenses, which increased by 90 basis points compared to the prior-year quarter, primarily due to costs associated with the Company’s Vietnam warehouse, which was launched during the second quarter of last year and not present in the comparable prior-year period.</w:t>
      </w:r>
    </w:p>
    <w:p>
      <w:pPr>
        <w:spacing w:after="0" w:line="183"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Domestic Upholstery segment’s gross profit decreased $315,000, and gross margin decreased 80 basis points, in the first quarter of fiscal 2027. Gross profit and margin improved in three of the segment’s four divisions, primarily due to lower cost of sales. These improvements were more than offset by lower gross profit and margin in the upscale leather furniture division, driven by higher material costs, increased standard labor rates and lower absorption of indirect costs resulting from a significant decline in its net sales. Warehousing and distribution expenses increased $142,000, or 60 basis points, primarily due to higher overhead.</w:t>
      </w:r>
    </w:p>
    <w:p>
      <w:pPr>
        <w:spacing w:after="0" w:line="18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Other gross profit increased $119,000 due to higher net sales in the hospitality business, while gross margin decreased 120 basis points due to higher freight-out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54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Selling and Administrative Expenses (S&amp;A)</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3"/>
          </w:tcPr>
          <w:p>
            <w:pPr>
              <w:jc w:val="center"/>
              <w:ind w:right="1130"/>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color w:val="auto"/>
              </w:rPr>
              <w:t>May 4,</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80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w w:val="96"/>
              </w:rPr>
              <w:t>% Net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78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rPr>
              <w:t>% Net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Sales</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Sales</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Hooker Branded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12,711</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36.0%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11,037</w:t>
            </w: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4"/>
              </w:rPr>
              <w:t>29.7%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Domestic Upholstery</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5,110</w:t>
            </w:r>
          </w:p>
        </w:tc>
        <w:tc>
          <w:tcPr>
            <w:tcW w:w="8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18.0%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5,290</w:t>
            </w:r>
          </w:p>
        </w:tc>
        <w:tc>
          <w:tcPr>
            <w:tcW w:w="7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18.3%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648</w:t>
            </w: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11.2%</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1,439</w:t>
            </w: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4"/>
              </w:rPr>
              <w:t>27.9%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2"/>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18,469</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26.6%</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25.0%</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selling and administrative (“S&amp;A”) expenses increased in absolute terms and as a percentage of net sales, driven by higher expenses in Hooker Branded and partially offset by decreases in Domestic Upholstery and All Other.</w:t>
      </w:r>
    </w:p>
    <w:p>
      <w:pPr>
        <w:spacing w:after="0" w:line="162"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Hooker Branded segment’s S&amp;A expenses increased $1.7 million, or 630 basis points, compared to the prior-year first quarter. Higher compensation expense accounted for nearly 60% of the increase, primarily due to the planned retention and reassignment of certain former Home Meridian segment employees and, to a lesser extent, bonus accruals based on current year’s profitability. The remaining increase was primarily attributable to higher consulting and IT-related expenses to support the ERP system, as well as amortization expense related to the Company’s new website. These increases were partially offset by lower selling costs due to decreased net sales and lower severance expense compared to the prior-year period.</w:t>
      </w:r>
    </w:p>
    <w:p>
      <w:pPr>
        <w:spacing w:after="0" w:line="187"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The Domestic Upholstery segment’s S&amp;A expenses decreased slightly by $180,000, or 30 basis points, in the first quarter of fiscal 2027. The decrease was primarily driven by lower salary expenses resulting from previously implemented cost-reduction actions and, to a lesser extent, lower selling costs. These decreases were partially offset by bonus accruals based on current-year’s profitability, higher professional services expenses and other operating expenses, including sample costs, new product development costs and travel expenses.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Other S&amp;A expenses decreased $791,000 due to lower operating expenses in the hospitality business following the consolidation of certain operations and the absence of S&amp;A expense allocations from the former Home Meridian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Intangible Asset Amortization</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1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color w:val="auto"/>
              </w:rPr>
              <w:t>May 4,</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0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 Net</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 Net</w:t>
            </w: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5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Sales</w:t>
            </w:r>
          </w:p>
        </w:tc>
        <w:tc>
          <w:tcPr>
            <w:tcW w:w="3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545</w:t>
            </w: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 amortization decreased compared to the prior-year first quarter, primarily due to the absence of amortization related to the Home Meridian trade name allocated to the hospitality business, which was reclassified to All Other, and the Sam Moore trade name amortization. See Note 9 to our condensed consolidated financial statements for additional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2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Profit / (Loss) and Margin</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Thirteen Weeks Ended</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color w:val="auto"/>
              </w:rPr>
              <w:t>May 4,</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 Net</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 Net</w:t>
            </w:r>
          </w:p>
        </w:tc>
        <w:tc>
          <w:tcPr>
            <w:tcW w:w="160" w:type="dxa"/>
            <w:vAlign w:val="bottom"/>
          </w:tcPr>
          <w:p>
            <w:pPr>
              <w:spacing w:after="0"/>
              <w:rPr>
                <w:sz w:val="20"/>
                <w:szCs w:val="20"/>
                <w:color w:val="auto"/>
              </w:rPr>
            </w:pPr>
          </w:p>
        </w:tc>
        <w:tc>
          <w:tcPr>
            <w:tcW w:w="7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5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Sales</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Hooker Branded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1,206</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4366.7%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Domestic Upholstery</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991</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1415.7%</w:t>
            </w:r>
          </w:p>
        </w:tc>
        <w:tc>
          <w:tcPr>
            <w:tcW w:w="0" w:type="dxa"/>
            <w:vAlign w:val="bottom"/>
          </w:tcPr>
          <w:p>
            <w:pPr>
              <w:spacing w:after="0"/>
              <w:rPr>
                <w:sz w:val="1"/>
                <w:szCs w:val="1"/>
                <w:color w:val="auto"/>
              </w:rPr>
            </w:pPr>
          </w:p>
        </w:tc>
      </w:tr>
      <w:tr>
        <w:trPr>
          <w:trHeight w:val="232"/>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Consolidated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1,578</w:t>
            </w: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2027, the Company recorded operating income of $1.6 million, which included operating income of $1.2 million in the Hooker Branded segment, driven by improved gross profit, and $1.1 million in All Other, driven by higher shipments in the hospitality business. These results were partially offset by an operating loss of $689,000 in the Domestic Upholstery segment, driven by its indoor residential furnishings businesses.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Thirteen Weeks Ended</w:t>
            </w: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color w:val="auto"/>
              </w:rPr>
              <w:t>May 4,</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 Net</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0"/>
                <w:szCs w:val="20"/>
                <w:color w:val="auto"/>
              </w:rPr>
            </w:pPr>
          </w:p>
        </w:tc>
        <w:tc>
          <w:tcPr>
            <w:tcW w:w="128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8"/>
                <w:szCs w:val="18"/>
                <w:color w:val="auto"/>
              </w:rPr>
              <w:t>% Net</w:t>
            </w:r>
          </w:p>
        </w:tc>
        <w:tc>
          <w:tcPr>
            <w:tcW w:w="7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Sales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Sales</w:t>
            </w: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Change</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Change</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income tax expense / (benefit)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326</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0.5% </w:t>
            </w: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4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$326,000 and tax benefit of $164,000 for the fiscal 2027 and 2026 first quarters from continuing operations. The effective tax rates for the fiscal 2027 and 2026 first quarters were 23.5% and 21.1%, respectively. The increase in the effective tax rate for the current fiscal quarter was primarily due to the relative impact of restricted stock compensation when compared to operating profits in the current year period and operating losses in the prior year period, as well as a change in valuation allowance recorded in the prior year period for a state loss carryforward.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Net Income / (Loss) from Continuing Operations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Thirteen Weeks Ended</w:t>
            </w: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color w:val="auto"/>
              </w:rPr>
              <w:t>May 4,</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 Net</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300" w:type="dxa"/>
            <w:vAlign w:val="bottom"/>
            <w:gridSpan w:val="3"/>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rPr>
              <w:t>% Net</w:t>
            </w:r>
          </w:p>
        </w:tc>
        <w:tc>
          <w:tcPr>
            <w:tcW w:w="7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5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Sales</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Sales</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 (loss) from 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Diluted earnings / (loss) from continuing operations per</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0.10</w:t>
            </w: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Discontinued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relationship to net sales of certain items included in the condensed consolidated statements of income included in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w w:val="95"/>
              </w:rPr>
              <w:t>For the</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Thirteen Weeks Ended</w:t>
            </w: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tcPr>
          <w:p>
            <w:pPr>
              <w:jc w:val="center"/>
              <w:ind w:right="11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540"/>
              <w:spacing w:after="0" w:line="188" w:lineRule="exact"/>
              <w:rPr>
                <w:sz w:val="20"/>
                <w:szCs w:val="20"/>
                <w:color w:val="auto"/>
              </w:rPr>
            </w:pPr>
            <w:r>
              <w:rPr>
                <w:rFonts w:ascii="Times New Roman" w:cs="Times New Roman" w:eastAsia="Times New Roman" w:hAnsi="Times New Roman"/>
                <w:sz w:val="18"/>
                <w:szCs w:val="18"/>
                <w:color w:val="auto"/>
              </w:rPr>
              <w:t>May 4,</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Net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 Net</w:t>
            </w: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Sales</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(14,133)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S&amp;A expenses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(4,102)</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3,065</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3,037</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599</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incoming orders increased 8% in May compared to the prior-year period, while backlog was up 14% year-over-year. The improvement was primarily driven by Margaritaville orders, which had its initial shipment in May.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housing activity remains pressured, and recent consumer confidence readings continue to reflect a very cautious consumer environment. The Department of Commerce’s April advance monthly estimates showed retail sales for furniture and home furnishings stores declined 2.0% from March and 3.6% from the prior year. Additionally, we continue to monitor tariff developments. Based on currently available information, we expect certain tariffs to be levied on our imported goods later this fiscal year, which will replace, at least in part, the tariffs overturned by the U.S. Supreme Court earlier this year.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outlook for the fiscal 2027 second quarter is cautious, given the current macro-economic pressures. While we do not expect meaningful near-term improvement in market conditions, our more efficient cost structure and streamlined portfolio should help us to deliver improved results versus the prior-year period, even if current conditions persist.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advantage is a sharper focus on our core businesses, a more disciplined operating model, and an organization aligned around profitable growth. While macroeconomic conditions remain challenging and tariff uncertainty persists, we believe the actions taken over the past year have positioned the Company to generate improved and more consistent earnings as market conditions improve.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Retailer commitments to Margaritaville products, galleries, and free-standing stores continue to exceed our expectations, with commitments to 100 in-store galleries and 10 free-standing retail stores to-date, as compared with about half those numbers when we reported in December. Meaningful shipments are expected to begin in the second half of fiscal 2027 and expected to build through the end of the current fiscal year and beyond. Combined with continued momentum in incoming orders across our core businesses, we believe we are well positioned to capitalize on opportunities as demand recovers.</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Summary Cash Flow Information – Operating, Investing and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discontinued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520"/>
              <w:spacing w:after="0" w:line="201" w:lineRule="exact"/>
              <w:rPr>
                <w:sz w:val="20"/>
                <w:szCs w:val="20"/>
                <w:color w:val="auto"/>
              </w:rPr>
            </w:pPr>
            <w:r>
              <w:rPr>
                <w:rFonts w:ascii="Times New Roman" w:cs="Times New Roman" w:eastAsia="Times New Roman" w:hAnsi="Times New Roman"/>
                <w:sz w:val="18"/>
                <w:szCs w:val="18"/>
                <w:b w:val="1"/>
                <w:bCs w:val="1"/>
                <w:color w:val="auto"/>
              </w:rPr>
              <w:t>May 3,</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color w:val="auto"/>
              </w:rPr>
              <w:t>May 4,</w:t>
            </w:r>
          </w:p>
        </w:tc>
        <w:tc>
          <w:tcPr>
            <w:tcW w:w="60" w:type="dxa"/>
            <w:vAlign w:val="bottom"/>
            <w:gridSpan w:val="2"/>
          </w:tcPr>
          <w:p>
            <w:pPr>
              <w:spacing w:after="0"/>
              <w:rPr>
                <w:sz w:val="17"/>
                <w:szCs w:val="17"/>
                <w:color w:val="auto"/>
              </w:rPr>
            </w:pPr>
          </w:p>
        </w:tc>
      </w:tr>
      <w:tr>
        <w:trPr>
          <w:trHeight w:val="238"/>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7"/>
        </w:trPr>
        <w:tc>
          <w:tcPr>
            <w:tcW w:w="20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14,409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19,216</w:t>
            </w:r>
          </w:p>
        </w:tc>
        <w:tc>
          <w:tcPr>
            <w:tcW w:w="60" w:type="dxa"/>
            <w:vAlign w:val="bottom"/>
            <w:gridSpan w:val="2"/>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20"/>
        </w:trPr>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(4,924)</w:t>
            </w:r>
          </w:p>
        </w:tc>
        <w:tc>
          <w:tcPr>
            <w:tcW w:w="2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48"/>
        </w:trPr>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(4,677)</w:t>
            </w:r>
          </w:p>
        </w:tc>
      </w:tr>
      <w:tr>
        <w:trPr>
          <w:trHeight w:val="223"/>
        </w:trPr>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11,716</w:t>
            </w:r>
          </w:p>
        </w:tc>
        <w:tc>
          <w:tcPr>
            <w:tcW w:w="4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During fiscal 2027 first quarter, cash increased by $9.5 million, from $1.1 million at the beginning of the period to $10.6 million at period-end. The increase in cash was primarily driven by strong cash provided by operating activities, partially offset by cash used in financing activities.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totaled $14.4 million for the fiscal 2027 first quarter, compared to $19.2 million for the prior-year first quarter. The decrease in operating cash flow was primarily driven by less favorable working capital changes in the current-year period, partially offset by higher net income from continuing operations and favorable non-cash adjustments.</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Trade receivables: Collections of trade accounts receivable provided cash inflows of $6.4 million and $12.8 million in the current-year and prior-year periods, respectively. The cash inflows in both periods were primarily due to collections of large, project-based receivables, with the higher cash inflow in the prior-year period reflecting higher receivables outstanding at the beginning of that period.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Inventories: provided $3.7 million of cash inflows in the current year period, compared to $5.3 million in the prior-year period. The decrease in inventories continued to be a significant source of cash; however, the benefit was lower than in the prior-year period.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Accrued salaries, wages and benefits: provided cash inflows of $0.9 million in the current-year period, compared to $0.2 million in the prior-year period, primarily due to the timing of payments.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Prepaid expenses and other assets: used $0.4 million of cash in the current-year period, compared to $1.1 million in the prior-year period, primarily due to collections of miscellaneous receivables that partially offset other cash uses.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totaled $21,000 for the current quarter, compared to cash used in investing activities of $0.8 million in the prior-year period. The change was primarily due to $0.5 million of proceeds received on life insurance policies in the current-year period and lower purchases of property and equipment.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$4.9 million compared to $2.0 million for the prior-year period. Financing cash flows included proceeds from the revolving credit facility of $3.2 million, which were more than offset by repayments of $6.7 million. The Company also paid cash dividends of $1.3 million, compared to $2.5 million in the prior-year period, and used $96,000 for the purchase and retirement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Financial Resources and 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sources of liquidity are:</w:t>
      </w:r>
    </w:p>
    <w:p>
      <w:pPr>
        <w:spacing w:after="0" w:line="225" w:lineRule="exact"/>
        <w:rPr>
          <w:sz w:val="20"/>
          <w:szCs w:val="20"/>
          <w:color w:val="auto"/>
        </w:rPr>
      </w:pPr>
    </w:p>
    <w:p>
      <w:pPr>
        <w:ind w:left="660" w:right="1880"/>
        <w:spacing w:after="0" w:line="594" w:lineRule="auto"/>
        <w:rPr>
          <w:sz w:val="20"/>
          <w:szCs w:val="20"/>
          <w:color w:val="auto"/>
        </w:rPr>
      </w:pPr>
      <w:r>
        <w:rPr>
          <w:rFonts w:ascii="Times New Roman" w:cs="Times New Roman" w:eastAsia="Times New Roman" w:hAnsi="Times New Roman"/>
          <w:sz w:val="18"/>
          <w:szCs w:val="18"/>
          <w:color w:val="auto"/>
        </w:rPr>
        <w:t>available cash and cash equivalents, which are highly dependent on incoming order rates and our operating performance; expected cash flow from operations;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available lines of credit; and</w:t>
      </w:r>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surrender value of Company-owned life insurance.</w:t>
      </w: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most significant components of our working capital are inventory, accounts receivable and cash and cash equivalents reduced by accounts payable and accrued expenses.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most significant ongoing short-term cash requirements relate primarily to funding operations (including expenditures for inventory, lease payments and payroll), quarterly dividend payments and capital expenditures related primarily to our showroom renovations and upgrading systems, buildings and equipment. The timing of our working capital needs can vary greatly depending on demand for and availability of raw materials and imported finished goods but is generally the greatest in mid-summer as a result of inventory build-up for the traditional fall selling season. Long-term cash requirements relate primarily to funding lease payments.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Agreements and Revolving Credit Facility</w:t>
      </w:r>
    </w:p>
    <w:p>
      <w:pPr>
        <w:spacing w:after="0" w:line="2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December 5, 2024, the Company and its wholly owned subsidiaries, Bradington-Young, LLC, Sam Moore Furniture LLC and Home Meridian Group, LLC (together with the Company, the “Borrowers”), entered into an Amended and Restated Loan and Security Agreement (the “Amended and Restated Loan Agreement”) with Bank of America, N.A. (“BofA”), as lender. The Amended and Restated Loan Agreement amends, restates and replaces the Second Amended and Restated Loan Agreement, dated as of September 29, 2017, between the Borrowers and BofA, as amended (the “Existing Loan Agreement”). The outstanding principal amount of loans and letters of credit issued under the Existing Loan Agreement and used to collateralize certain insurance arrangements and for imported product purchases will remain outstanding as loans and letters of credit under the Amended and Restated Loan Agreement.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and Restated Loan Agreement provides for a revolving credit facility in a committed principal amount of up to $70,000,000 (the “Revolving Commitment”), including subline of $8,000,000 for letters of credit, and an option to increase the Revolving Commitment by up to $30,000,000 upon meeting certain conditions, including agreement by BofA to increase the Revolving Commitment by such amount. Proceeds of loans and letters of credit under the Amended and Restated Loan Agreement will be available for general working capital and other corporate purposes of the Borrower.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of loans and letters of credit under the Revolving Commitment is capped by a borrowing base formula calculated as of any date as the sum for the Borrowers of (a) the value of their accounts receivable, (b) the value of their inventory, (c) the value of their in-transit inventory and (d) the life insurance cash surrender value of Company-owned life insurance policies, in each case subject to eligibility requirements, advance rates, valuation metrics, reductions for write-offs and other dilutive items and reserves (the “Borrowing Base”). The lesser of the Revolving Commitment and the Borrowing Base, in each case net of the principal amount of outstanding loans and the face amount of letters of credit, constitutes “Availability” under the Amended and Restated Credit Agreement.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Outstanding loans under the Amended and Restated Loan Agreement will bear interest at a rate per annum equal to the then-current Term SOFR Rate for a period of one month plus 0.10% plus a margin of 1.75%. The Term SOFR Rate will be adjusted on a monthly basis. Letters of credit are subject to a letter of credit fee equal to the actual daily amount of undrawn letters of credit multiplied by a per annum rate of 1.75% and a fronting fee equal to the actual daily amount of undrawn letters of credit multiplied by a per annum rate of 0.125%. We must also pay a monthly unused commitment fee that is based on the average daily unused amount of Revolving Commitment multiplied by a per annum rate of 0.25%. All accrued interest and fees are payable in cash monthly in arrears.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prepay any outstanding principal amounts borrowed under the Amended and Restated Loan Agreement at any time, without penalty provided that any payment is accompanied by all accrued interest owed. Subject to the Borrowers having sufficient borrowing base capacity and customary conditions precedent to borrowing, amounts repaid may be reborrowed. The Revolving Commitment will terminate, and all amounts outstanding thereunder will be due and payable, on December 5, 2029.</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obligations under the Amended and Restated Loan Agreement are secured by a first priority security interest in substantially all of the assets of the Borrowers, other than real estate, including all Company-owned life insurance policies, all accounts receivable, all inventory, all intellectual property, all equipment and all other personal property.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and Restated Loan Agreement includes customary representations and warranties and requires the Borrowers to comply with customary affirmative and negative covenants, including, among other things, a financial covenant requiring the maintenance of a ratio of (x) EBITDA net of capital expenditures (to the extent not paid using Borrowed Money) to (y) the sum of debt service and dividends paid, in each case as of the last day of each month for the trailing twelve-month period ending on such day, of at least 1.0 to 1.0, if an event of default has occurred and is continuing or Availability has fallen below 10% of the Revolving Commitment at any time (until such time as both Availability is 10% or greater and no event of default exists, for the 30 consecutive days prior to such month end).</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Amended and Restated Loan Agreement also limits the Borrowers’ right to incur other indebtedness, make certain investments and create liens upon our assets, subject to certain exceptions, among other restrictions. The Amended and Restated Loan Agreement does not restrict the Company’s ability to pay cash dividends on, or repurchase, shares of its common stock, subject to (a) no default existing prior to or resulting from such dividend or repurchase,</w:t>
      </w:r>
    </w:p>
    <w:p>
      <w:pPr>
        <w:spacing w:after="0" w:line="1" w:lineRule="exact"/>
        <w:rPr>
          <w:sz w:val="20"/>
          <w:szCs w:val="20"/>
          <w:color w:val="auto"/>
        </w:rPr>
      </w:pPr>
    </w:p>
    <w:p>
      <w:pPr>
        <w:jc w:val="both"/>
        <w:ind w:firstLine="8"/>
        <w:spacing w:after="0" w:line="255"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is not less than 15% of the Revolving Commitment for each of the preceding 45 days prior to announcement of such dividend or repurchase and after giving pro forma effect to such dividend or repurchase and (c) if Availability is less than 20% of the Revolving Commitment on any day in such 45-day period, the Borrowers are in compliance with the financial covenant described above after giving effect to such dividend or repurchase.</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$598,000 in previous fiscal years in debt issuance costs in connection with our term loans. As of May 3, 2026, unamortized loan costs of $444,000 were recorded in other assets on our condensed consolidated balance sheets.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May 3, 2026, there were no outstanding loans, other than $3.2 million face amount of letters of credit. We had $54.2 million of Availability based on the current Borrowing Base. There were no additional borrowings outstanding under the Amended and Restated Loan Agreement as of May 3,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Authorization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2026, our Board of Directors authorized the repurchase of up to $5 million of the Company’s common shares. The authorization did not obligate us to acquire a specific number of shares during any period and did not have an expiration date, but it could be modified, suspended, or discontinued at any time at the discretion of our Board of Directors. Repurchases could be made from time to time in the open market, or through privately negotiated transactions or otherwise, in compliance with applicable laws, rules and regulations, and subject to our cash requirements for other purposes, compliance with the covenants under the Amended and Restated Loan Agreement and other factors we deem relevant.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2027 first quarter, we used approximately $96,000 of the authorization to purchase 7,615 of our common shares (at an average price of $12.53 per share), with approximately $4.9 million remaining available for future purchases under the authorization.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spend approximately $2.5 million in capital expenditures in the remainder of fiscal 2027 to maintain and enhance our operating systems and facilities.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9, 2026, our board of directors declared a quarterly cash dividend of $0.115 per share which will be paid on June 30, 2026, to shareholders of record at June 19, 2026.</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our 2026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types of market risk in the normal course of our business, including the impact of interest rate changes, raw materials price risk and changes in foreign currency exchange rates, which could impact our results of operations or financial condition. We manage our exposure to this risk through our normal operating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Amended and Restated Loan Agreement will bear interest at a rate per annum equal to the then-current Term SOFR Rate for a period of one month plus 0.10% plus a margin of 1.75%. The Term SOFR Rate will be adjusted on a monthly basis. As such, these debt instruments expose us to market risk for changes in interest rates. As of May 3, 2026, there were no outstanding loans, other than amounts reserved for standby letters of credit in the amount of $3.2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Price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the cost of raw materials used in our domestic upholstery manufacturing processes; principally, wood, fabric, and foam products. Increases in home construction activity could result in increases in wood and fabric costs. Additionally, the cost of petroleum-based foam products we utilize are sensitive to crude oil prices, which vary due to supply, demand, and geo-political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imported products, we generally negotiate firm pricing denominated in U.S. Dollars with our foreign suppliers, typically for periods of at least one year. We accept the exposure to exchange rate movements beyond these negotiated periods. We do not use derivative financial instruments to manage this risk but could choose to do so in the future. Most of our imports are purchased from suppliers located in Vietnam and China. The Chinese currency floats within a limited range in relation to the U.S. Dollar, resulting in exposure to foreign currency exchange rate fluctuations.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we transact our imported product purchases in U.S. Dollars, a relative decline in the value of the U.S. Dollar could increase the price we pay for imported products beyond the negotiated periods. We generally expect to reflect substantially all of the effect of any price increases from suppliers in the prices we charge for imported products. However, these changes could adversely impact sales volume or profit margins during affected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the end of the fiscal quarter ended May 3, 2026. Based on this evaluation, our principal executive officer and principal financial officer have concluded that our disclosure controls and procedures are effective as of May 3, 2026 to provide reasonable assurance that information required to be disclosed in the reports that we file or submit under the Securities Exchange Act of 1934, as amended, is accumulated and communicated to the Company’s management, including our principal executive officer and principal financial officer, as appropriate to allow timely decisions regarding required disclosure and are effective to provide reasonable assurance that such information is recorded, processed, summarized and reported within the time periods specified in the SEC’s rules and 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fiscal quarter ended May 3, 2026, that have materially affected, or are reasonably likely to materially affect, our internal control over financial reporting.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61"/>
        </w:trPr>
        <w:tc>
          <w:tcPr>
            <w:tcW w:w="128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4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 (1).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That May</w:t>
            </w: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38"/>
        </w:trPr>
        <w:tc>
          <w:tcPr>
            <w:tcW w:w="1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Program</w:t>
            </w: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 2026 - March 8, 2026</w:t>
            </w:r>
          </w:p>
        </w:tc>
        <w:tc>
          <w:tcPr>
            <w:tcW w:w="4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9, 2026 - April 5, 2026</w:t>
            </w:r>
          </w:p>
        </w:tc>
        <w:tc>
          <w:tcPr>
            <w:tcW w:w="4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2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6, 2026 - May 3, 2026</w:t>
            </w:r>
          </w:p>
        </w:tc>
        <w:tc>
          <w:tcPr>
            <w:tcW w:w="4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7,615</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4,904,552</w:t>
            </w: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7,615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left="340" w:hanging="332"/>
        <w:spacing w:after="0" w:line="277"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2026 fourth quarter, our Board of Directors authorized the repurchase of up to $5 million of the Company’s common shares. The authorization does not obligate us to acquire a specific number of shares during any period and does not have an expiration date, but it may be modified, suspended, or discontinued at any time at the discretion of our Board of Directors. Repurchases may be made from time to time in the open market, or through privately negotiated transactions or otherwise, in compliance with applicable laws, rules and regulations, and subject to our cash requirements for other purposes, compliance with the covenants under the loan agreement for our revolving credit facility and other factors we deem relevant.</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2027, pursuant to a plan compliant with the safe harbors of Rules 10b5-1 and 10b-18, we used approximately $96,000 of the authorization to purchase 7,615 of our common shares (at an average price of $12.53 per share), with approximately $4.9 million remaining available for future purchases under the authorization.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3, 2026, no director or officer of the Company adopted, terminated or modified a ‘Rule 10b5-1 trading arrangement’ or ‘non-Rule 10b5-1 trading arrangement,’ as each term is defined in Item 408(a) of Regulation 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Articles of Incorporation of the Company, as amended as of September 16, 2021 (incorporated by reference to Exhibit 3.1 to the</w:t>
              </w:r>
            </w:hyperlink>
          </w:p>
        </w:tc>
      </w:tr>
      <w:tr>
        <w:trPr>
          <w:trHeight w:val="196"/>
        </w:trPr>
        <w:tc>
          <w:tcPr>
            <w:tcW w:w="1300" w:type="dxa"/>
            <w:vAlign w:val="bottom"/>
          </w:tcPr>
          <w:p>
            <w:pPr>
              <w:spacing w:after="0"/>
              <w:rPr>
                <w:sz w:val="17"/>
                <w:szCs w:val="17"/>
                <w:color w:val="auto"/>
              </w:rPr>
            </w:pPr>
          </w:p>
        </w:tc>
        <w:tc>
          <w:tcPr>
            <w:tcW w:w="9940" w:type="dxa"/>
            <w:vAlign w:val="bottom"/>
            <w:gridSpan w:val="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Company’s Quarterly Report on Form 10-Q (SEC File No. 000-25349) for the quarter ended October 31, 2021)</w:t>
              </w:r>
            </w:hyperlink>
          </w:p>
        </w:tc>
      </w:tr>
      <w:tr>
        <w:trPr>
          <w:trHeight w:val="20"/>
        </w:trPr>
        <w:tc>
          <w:tcPr>
            <w:tcW w:w="1300" w:type="dxa"/>
            <w:vAlign w:val="bottom"/>
          </w:tcPr>
          <w:p>
            <w:pPr>
              <w:spacing w:after="0" w:line="20" w:lineRule="exact"/>
              <w:rPr>
                <w:sz w:val="1"/>
                <w:szCs w:val="1"/>
                <w:color w:val="auto"/>
              </w:rPr>
            </w:pPr>
          </w:p>
        </w:tc>
        <w:tc>
          <w:tcPr>
            <w:tcW w:w="5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2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Amended and Restated Bylaws of the Company, as amended September 5, 2023 (incorporated by reference to Exhibit 3.2 to the</w:t>
              </w:r>
            </w:hyperlink>
          </w:p>
        </w:tc>
        <w:tc>
          <w:tcPr>
            <w:tcW w:w="7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9940" w:type="dxa"/>
            <w:vAlign w:val="bottom"/>
            <w:gridSpan w:val="9"/>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Company’s Quarterly Report on Form 10-Q (SEC File No. 000-25349) for the quarter ended July 30, 2023)</w:t>
              </w:r>
            </w:hyperlink>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74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Articles of Incorporation of the Company, as amended (See Exhibit 3.1)</w:t>
              </w:r>
            </w:hyperlink>
          </w:p>
        </w:tc>
        <w:tc>
          <w:tcPr>
            <w:tcW w:w="2200" w:type="dxa"/>
            <w:vAlign w:val="bottom"/>
            <w:gridSpan w:val="3"/>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6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Amended and Restated Bylaws of the Company, as amended (See Exhibit 3.2)</w:t>
              </w:r>
            </w:hyperlink>
          </w:p>
        </w:tc>
        <w:tc>
          <w:tcPr>
            <w:tcW w:w="4280" w:type="dxa"/>
            <w:vAlign w:val="bottom"/>
            <w:gridSpan w:val="4"/>
          </w:tcPr>
          <w:p>
            <w:pPr>
              <w:spacing w:after="0"/>
              <w:rPr>
                <w:sz w:val="24"/>
                <w:szCs w:val="24"/>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Rule 13a-14(a) Certification of the Company’s principal executive officer</w:t>
            </w: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Rule 13a-14(a) Certification of the Company’s principal financial officer</w:t>
            </w:r>
          </w:p>
        </w:tc>
        <w:tc>
          <w:tcPr>
            <w:tcW w:w="4640" w:type="dxa"/>
            <w:vAlign w:val="bottom"/>
            <w:gridSpan w:val="6"/>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2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Rule 13a-14(b) Certification of the Company’s principal executive officer and principal financial officer pursuant to 18 U.S.C. Section</w:t>
            </w:r>
          </w:p>
        </w:tc>
      </w:tr>
      <w:tr>
        <w:trPr>
          <w:trHeight w:val="196"/>
        </w:trPr>
        <w:tc>
          <w:tcPr>
            <w:tcW w:w="1300" w:type="dxa"/>
            <w:vAlign w:val="bottom"/>
          </w:tcPr>
          <w:p>
            <w:pPr>
              <w:spacing w:after="0"/>
              <w:rPr>
                <w:sz w:val="17"/>
                <w:szCs w:val="17"/>
                <w:color w:val="auto"/>
              </w:rPr>
            </w:pPr>
          </w:p>
        </w:tc>
        <w:tc>
          <w:tcPr>
            <w:tcW w:w="9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1350 as adopted pursuant to Section 906 of the Sarbanes-Oxley Act of 2002</w:t>
            </w:r>
          </w:p>
        </w:tc>
      </w:tr>
      <w:tr>
        <w:trPr>
          <w:trHeight w:val="45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Interactive Data Files (formatted as Inline XBRL)</w:t>
            </w:r>
          </w:p>
        </w:tc>
        <w:tc>
          <w:tcPr>
            <w:tcW w:w="4460" w:type="dxa"/>
            <w:vAlign w:val="bottom"/>
            <w:gridSpan w:val="5"/>
          </w:tcPr>
          <w:p>
            <w:pPr>
              <w:spacing w:after="0"/>
              <w:rPr>
                <w:sz w:val="24"/>
                <w:szCs w:val="24"/>
                <w:color w:val="auto"/>
              </w:rPr>
            </w:pP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5"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herewith</w:t>
      </w:r>
    </w:p>
    <w:p>
      <w:pPr>
        <w:sectPr>
          <w:pgSz w:w="11900" w:h="16838" w:orient="portrait"/>
          <w:cols w:equalWidth="0" w:num="1">
            <w:col w:w="11240"/>
          </w:cols>
          <w:pgMar w:left="320" w:top="216" w:right="3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HOOKER FURNISHINGS CORPORATION</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By:  /s/ C. Earl Armstrong III</w:t>
            </w:r>
          </w:p>
        </w:tc>
      </w:tr>
      <w:tr>
        <w:trPr>
          <w:trHeight w:val="191"/>
        </w:trPr>
        <w:tc>
          <w:tcPr>
            <w:tcW w:w="35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 Earl Armstrong III</w:t>
            </w:r>
          </w:p>
        </w:tc>
      </w:tr>
      <w:tr>
        <w:trPr>
          <w:trHeight w:val="216"/>
        </w:trPr>
        <w:tc>
          <w:tcPr>
            <w:tcW w:w="3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Finance and</w:t>
            </w:r>
          </w:p>
        </w:tc>
      </w:tr>
      <w:tr>
        <w:trPr>
          <w:trHeight w:val="234"/>
        </w:trPr>
        <w:tc>
          <w:tcPr>
            <w:tcW w:w="3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7"/>
        </w:trPr>
        <w:tc>
          <w:tcPr>
            <w:tcW w:w="3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32</w:t>
            </w: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May 3,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13a-14(a) 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Jeremy R. Hoff,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Hooker Furnishings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By:  /s/ Jeremy R. Hoff</w:t>
            </w:r>
          </w:p>
        </w:tc>
      </w:tr>
      <w:tr>
        <w:trPr>
          <w:trHeight w:val="191"/>
        </w:trPr>
        <w:tc>
          <w:tcPr>
            <w:tcW w:w="4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Jeremy R. Hoff</w:t>
            </w:r>
          </w:p>
        </w:tc>
      </w:tr>
      <w:tr>
        <w:trPr>
          <w:trHeight w:val="234"/>
        </w:trPr>
        <w:tc>
          <w:tcPr>
            <w:tcW w:w="4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May 3,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13a-14(a) 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 Earl Armstrong III,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Hooker Furnishings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By:  /s/ C. Earl Armstrong III</w:t>
            </w:r>
          </w:p>
        </w:tc>
      </w:tr>
      <w:tr>
        <w:trPr>
          <w:trHeight w:val="191"/>
        </w:trPr>
        <w:tc>
          <w:tcPr>
            <w:tcW w:w="4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 Earl Armstrong III</w:t>
            </w:r>
          </w:p>
        </w:tc>
      </w:tr>
      <w:tr>
        <w:trPr>
          <w:trHeight w:val="216"/>
        </w:trPr>
        <w:tc>
          <w:tcPr>
            <w:tcW w:w="4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Finance and</w:t>
            </w:r>
          </w:p>
        </w:tc>
      </w:tr>
      <w:tr>
        <w:trPr>
          <w:trHeight w:val="234"/>
        </w:trPr>
        <w:tc>
          <w:tcPr>
            <w:tcW w:w="4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Hooker Furnishings Corporation (the “Company”) Quarterly Report on Form 10-Q for the quarterly period ended May 3, 2026, as filed with the Securities and Exchange Commission on the date hereof (the “Report”), each of the undersigned certifies pursuant to 18 U.S.C. Section 1350, as adopted pursuant to Section 906 of the Sarbanes-Oxley Act of 2002, that, to the best of his knowledge:</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By:  /s/ Jeremy R. Hoff</w:t>
            </w:r>
          </w:p>
        </w:tc>
      </w:tr>
      <w:tr>
        <w:trPr>
          <w:trHeight w:val="191"/>
        </w:trPr>
        <w:tc>
          <w:tcPr>
            <w:tcW w:w="4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Jeremy R. Hoff</w:t>
            </w:r>
          </w:p>
        </w:tc>
      </w:tr>
      <w:tr>
        <w:trPr>
          <w:trHeight w:val="234"/>
        </w:trPr>
        <w:tc>
          <w:tcPr>
            <w:tcW w:w="4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432"/>
        </w:trPr>
        <w:tc>
          <w:tcPr>
            <w:tcW w:w="4100" w:type="dxa"/>
            <w:vAlign w:val="bottom"/>
          </w:tcPr>
          <w:p>
            <w:pPr>
              <w:spacing w:after="0"/>
              <w:rPr>
                <w:sz w:val="24"/>
                <w:szCs w:val="24"/>
                <w:color w:val="auto"/>
              </w:rPr>
            </w:pP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By:  /s/ C. Earl Armstrong III</w:t>
            </w:r>
          </w:p>
        </w:tc>
      </w:tr>
      <w:tr>
        <w:trPr>
          <w:trHeight w:val="191"/>
        </w:trPr>
        <w:tc>
          <w:tcPr>
            <w:tcW w:w="4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 Earl Armstrong III</w:t>
            </w:r>
          </w:p>
        </w:tc>
      </w:tr>
      <w:tr>
        <w:trPr>
          <w:trHeight w:val="216"/>
        </w:trPr>
        <w:tc>
          <w:tcPr>
            <w:tcW w:w="4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Finance and</w:t>
            </w:r>
          </w:p>
        </w:tc>
      </w:tr>
      <w:tr>
        <w:trPr>
          <w:trHeight w:val="234"/>
        </w:trPr>
        <w:tc>
          <w:tcPr>
            <w:tcW w:w="4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2"/>
    </w:lvl>
    <w:lvl w:ilvl="1">
      <w:lvlJc w:val="left"/>
      <w:lvlText w:val=" "/>
      <w:numFmt w:val="bullet"/>
      <w:start w:val="1"/>
    </w:lvl>
  </w:abstractNum>
  <w:abstractNum w:abstractNumId="1">
    <w:nsid w:val="3352255A"/>
    <w:multiLevelType w:val="hybridMultilevel"/>
    <w:lvl w:ilvl="0">
      <w:lvlJc w:val="left"/>
      <w:lvlText w:val=" "/>
      <w:numFmt w:val="bullet"/>
      <w:start w:val="1"/>
    </w:lvl>
  </w:abstractNum>
  <w:abstractNum w:abstractNumId="2">
    <w:nsid w:val="109CF92E"/>
    <w:multiLevelType w:val="hybridMultilevel"/>
    <w:lvl w:ilvl="0">
      <w:lvlJc w:val="left"/>
      <w:lvlText w:val="(%1)"/>
      <w:numFmt w:val="lowerLetter"/>
      <w:start w:val="2"/>
    </w:lvl>
  </w:abstractNum>
  <w:abstractNum w:abstractNumId="3">
    <w:nsid w:val="DED7263"/>
    <w:multiLevelType w:val="hybridMultilevel"/>
    <w:lvl w:ilvl="0">
      <w:lvlJc w:val="left"/>
      <w:lvlText w:val="%1"/>
      <w:numFmt w:val="decimal"/>
      <w:start w:val="15"/>
    </w:lvl>
  </w:abstractNum>
  <w:abstractNum w:abstractNumId="4">
    <w:nsid w:val="7FDCC233"/>
    <w:multiLevelType w:val="hybridMultilevel"/>
    <w:lvl w:ilvl="0">
      <w:lvlJc w:val="left"/>
      <w:lvlText w:val="%1"/>
      <w:numFmt w:val="decimal"/>
      <w:start w:val="13"/>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
      <w:numFmt w:val="bullet"/>
      <w:start w:val="1"/>
    </w:lvl>
  </w:abstractNum>
  <w:abstractNum w:abstractNumId="7">
    <w:nsid w:val="6B68079A"/>
    <w:multiLevelType w:val="hybridMultilevel"/>
    <w:lvl w:ilvl="0">
      <w:lvlJc w:val="left"/>
      <w:lvlText w:val=" "/>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23"/>
    </w:lvl>
  </w:abstractNum>
  <w:abstractNum w:abstractNumId="11">
    <w:nsid w:val="431BD7B7"/>
    <w:multiLevelType w:val="hybridMultilevel"/>
    <w:lvl w:ilvl="0">
      <w:lvlJc w:val="left"/>
      <w:lvlText w:val=" "/>
      <w:numFmt w:val="bullet"/>
      <w:start w:val="1"/>
    </w:lvl>
  </w:abstractNum>
  <w:abstractNum w:abstractNumId="12">
    <w:nsid w:val="3F2DBA31"/>
    <w:multiLevelType w:val="hybridMultilevel"/>
    <w:lvl w:ilvl="0">
      <w:lvlJc w:val="left"/>
      <w:lvlText w:val=" "/>
      <w:numFmt w:val="bullet"/>
      <w:start w:val="1"/>
    </w:lvl>
  </w:abstractNum>
  <w:abstractNum w:abstractNumId="13">
    <w:nsid w:val="7C83E458"/>
    <w:multiLevelType w:val="hybridMultilevel"/>
    <w:lvl w:ilvl="0">
      <w:lvlJc w:val="left"/>
      <w:lvlText w:val=" "/>
      <w:numFmt w:val="bullet"/>
      <w:start w:val="1"/>
    </w:lvl>
  </w:abstractNum>
  <w:abstractNum w:abstractNumId="14">
    <w:nsid w:val="257130A3"/>
    <w:multiLevelType w:val="hybridMultilevel"/>
    <w:lvl w:ilvl="0">
      <w:lvlJc w:val="left"/>
      <w:lvlText w:val=" "/>
      <w:numFmt w:val="bullet"/>
      <w:start w:val="1"/>
    </w:lvl>
  </w:abstractNum>
  <w:abstractNum w:abstractNumId="15">
    <w:nsid w:val="62BBD95A"/>
    <w:multiLevelType w:val="hybridMultilevel"/>
    <w:lvl w:ilvl="0">
      <w:lvlJc w:val="left"/>
      <w:lvlText w:val=" "/>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
      <w:numFmt w:val="bullet"/>
      <w:start w:val="1"/>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1" Type="http://schemas.openxmlformats.org/officeDocument/2006/relationships/hyperlink" Target="http://www.sec.gov/Archives/edgar/data/1077688/000118518521001818/ex_313951.htm" TargetMode="External"/><Relationship Id="rId62" Type="http://schemas.openxmlformats.org/officeDocument/2006/relationships/hyperlink" Target="http://www.sec.gov/Archives/edgar/data/1077688/000118518523000948/ex_5675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2026-06-12T15:05:17Z</dcterms:created>
  <dcterms:modified xsi:type="dcterms:W3CDTF">2026-06-12T15:05:17Z</dcterms:modified>
</cp:coreProperties>
</file>