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HOOKER FURNISHINGS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DONALD SMITH &amp; CO.,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894,362.00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939,762.00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952,422.00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DSCO Value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10,660.00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952,422.00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Piermont</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952,422.00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02"/>
        <w:gridCol w:w="8948"/>
        <w:gridCol w:w="155"/>
      </w:tblGrid>
      <w:tr>
        <w:trPr/>
        <w:tc>
          <w:tcPr>
            <w:tcW w:w="1102" w:type="dxa"/>
            <w:tcBorders/>
            <w:vAlign w:val="center"/>
          </w:tcPr>
          <w:p>
            <w:pPr>
              <w:pStyle w:val="TableContents"/>
              <w:bidi w:val="0"/>
              <w:spacing w:before="0" w:after="283"/>
              <w:jc w:val="left"/>
              <w:rPr/>
            </w:pPr>
            <w:r>
              <w:rPr/>
              <w:t>Item 1.</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issuer: </w:t>
            </w:r>
          </w:p>
          <w:p>
            <w:pPr>
              <w:pStyle w:val="TableContents"/>
              <w:bidi w:val="0"/>
              <w:spacing w:before="0" w:after="0"/>
              <w:jc w:val="left"/>
              <w:rPr/>
            </w:pPr>
            <w:r>
              <w:rPr/>
              <w:t>HOOKER FURNISHINGS Corp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440 E COMMONWEALTH BLVD, POB 4708, MARTINSVILLE, VIRGINIA, 24115.</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2.</w:t>
            </w:r>
          </w:p>
        </w:tc>
        <w:tc>
          <w:tcPr>
            <w:tcW w:w="894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Donald Smith &amp; Co., Inc.</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152 West 57th Street, 29th Floor New York, NY 10019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jc w:val="left"/>
              <w:rPr/>
            </w:pPr>
            <w:r>
              <w:rPr/>
              <w:t xml:space="preserve">Citizenship: </w:t>
            </w:r>
          </w:p>
          <w:p>
            <w:pPr>
              <w:pStyle w:val="TableContents"/>
              <w:bidi w:val="0"/>
              <w:spacing w:before="0" w:after="0"/>
              <w:jc w:val="left"/>
              <w:rPr/>
            </w:pPr>
            <w:r>
              <w:rPr/>
              <w:t>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3.</w:t>
            </w:r>
          </w:p>
        </w:tc>
        <w:tc>
          <w:tcPr>
            <w:tcW w:w="894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(d)</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(e)</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(f)</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(g)</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(h)</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(j)</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(k)</w:t>
            </w:r>
          </w:p>
        </w:tc>
        <w:tc>
          <w:tcPr>
            <w:tcW w:w="894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9103" w:type="dxa"/>
            <w:gridSpan w:val="2"/>
            <w:tcBorders/>
            <w:vAlign w:val="center"/>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4.</w:t>
            </w:r>
          </w:p>
        </w:tc>
        <w:tc>
          <w:tcPr>
            <w:tcW w:w="894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(a)</w:t>
            </w:r>
          </w:p>
        </w:tc>
        <w:tc>
          <w:tcPr>
            <w:tcW w:w="894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952,422</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(b)</w:t>
            </w:r>
          </w:p>
        </w:tc>
        <w:tc>
          <w:tcPr>
            <w:tcW w:w="894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8.84%  %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(c)</w:t>
            </w:r>
          </w:p>
        </w:tc>
        <w:tc>
          <w:tcPr>
            <w:tcW w:w="894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Donald Smith &amp; Co., Inc. 894,362 DSCO Value Fund, L.P. 10,660 John Piermont 2,000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Donald Smith &amp; Co., Inc. 939,762 DSCO Value Fund, L.P. 10,660 John Piermont 2,000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5.</w:t>
            </w:r>
          </w:p>
        </w:tc>
        <w:tc>
          <w:tcPr>
            <w:tcW w:w="894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6.</w:t>
            </w:r>
          </w:p>
        </w:tc>
        <w:tc>
          <w:tcPr>
            <w:tcW w:w="894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1. 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Hooker Furnishings Corporation. No one person?s interest in the Common Stock of Hooker Furnishings Corporation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7.</w:t>
            </w:r>
          </w:p>
        </w:tc>
        <w:tc>
          <w:tcPr>
            <w:tcW w:w="894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8.</w:t>
            </w:r>
          </w:p>
        </w:tc>
        <w:tc>
          <w:tcPr>
            <w:tcW w:w="894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 xml:space="preserve">Donald Smith &amp; Co., Inc. IA DSCO Value Fund, L.P. PN John Piermont IN </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Item 9.</w:t>
            </w:r>
          </w:p>
        </w:tc>
        <w:tc>
          <w:tcPr>
            <w:tcW w:w="894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2" w:type="dxa"/>
            <w:tcBorders/>
            <w:vAlign w:val="center"/>
          </w:tcPr>
          <w:p>
            <w:pPr>
              <w:pStyle w:val="TableContents"/>
              <w:bidi w:val="0"/>
              <w:spacing w:before="0" w:after="283"/>
              <w:jc w:val="left"/>
              <w:rPr/>
            </w:pPr>
            <w:r>
              <w:rPr/>
              <w:t> </w:t>
            </w:r>
          </w:p>
        </w:tc>
        <w:tc>
          <w:tcPr>
            <w:tcW w:w="894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DONALD SMITH &amp; CO., INC.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DSCO Value Fund,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3306" w:type="dxa"/>
        <w:jc w:val="left"/>
        <w:tblInd w:w="0" w:type="dxa"/>
        <w:tblLayout w:type="fixed"/>
        <w:tblCellMar>
          <w:top w:w="28" w:type="dxa"/>
          <w:left w:w="28" w:type="dxa"/>
          <w:bottom w:w="28" w:type="dxa"/>
          <w:right w:w="28" w:type="dxa"/>
        </w:tblCellMar>
      </w:tblPr>
      <w:tblGrid>
        <w:gridCol w:w="1653"/>
        <w:gridCol w:w="1653"/>
      </w:tblGrid>
      <w:tr>
        <w:trPr/>
        <w:tc>
          <w:tcPr>
            <w:tcW w:w="1653" w:type="dxa"/>
            <w:tcBorders/>
            <w:vAlign w:val="center"/>
          </w:tcPr>
          <w:p>
            <w:pPr>
              <w:pStyle w:val="TableContents"/>
              <w:bidi w:val="0"/>
              <w:spacing w:before="0" w:after="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0"/>
                    <w:jc w:val="left"/>
                    <w:rPr/>
                  </w:pPr>
                  <w:r>
                    <w:rPr/>
                    <w:t>John Piermont</w:t>
                  </w:r>
                </w:p>
              </w:tc>
            </w:tr>
          </w:tbl>
          <w:p>
            <w:pPr>
              <w:pStyle w:val="TableContents"/>
              <w:bidi w:val="0"/>
              <w:spacing w:before="0" w:after="283"/>
              <w:jc w:val="left"/>
              <w:rPr/>
            </w:pPr>
            <w:r>
              <w:rPr/>
            </w:r>
          </w:p>
        </w:tc>
        <w:tc>
          <w:tcPr>
            <w:tcW w:w="16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Richard L. Greenberg</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CEO and Co-CIO</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1389</Words>
  <Characters>6938</Characters>
  <CharactersWithSpaces>8280</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