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hoft8k082626.htm"/>
      <w:bookmarkStart w:id="1" w:name="kshoft8k082626"/>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B_edei--DocumentType_c20260903__20"/>
      <w:bookmarkEnd w:id="2"/>
      <w:r>
        <w:rPr>
          <w:rFonts w:ascii="Times New Roman;Times;Serif" w:hAnsi="Times New Roman;Times;Serif"/>
          <w:b/>
          <w:i w:val="false"/>
          <w:caps w:val="false"/>
          <w:smallCaps w:val="false"/>
          <w:sz w:val="28"/>
        </w:rPr>
        <w:t>8-K</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3, 2026</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B_edei--EntityRegistrantName_c2026"/>
      <w:bookmarkEnd w:id="4"/>
      <w:r>
        <w:rPr>
          <w:rFonts w:ascii="Times New Roman;Times;Serif" w:hAnsi="Times New Roman;Times;Serif"/>
          <w:b/>
          <w:i w:val="false"/>
          <w:caps w:val="false"/>
          <w:smallCaps w:val="false"/>
          <w:sz w:val="32"/>
        </w:rPr>
        <w:t>HOOKER FURNISHINGS 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7395" w:type="dxa"/>
        <w:jc w:val="left"/>
        <w:tblInd w:w="0" w:type="dxa"/>
        <w:tblLayout w:type="fixed"/>
        <w:tblCellMar>
          <w:top w:w="0" w:type="dxa"/>
          <w:left w:w="0" w:type="dxa"/>
          <w:bottom w:w="28" w:type="dxa"/>
          <w:right w:w="0" w:type="dxa"/>
        </w:tblCellMar>
      </w:tblPr>
      <w:tblGrid>
        <w:gridCol w:w="3125"/>
        <w:gridCol w:w="60"/>
        <w:gridCol w:w="2270"/>
        <w:gridCol w:w="60"/>
        <w:gridCol w:w="1880"/>
      </w:tblGrid>
      <w:tr>
        <w:trPr/>
        <w:tc>
          <w:tcPr>
            <w:tcW w:w="3125" w:type="dxa"/>
            <w:tcBorders>
              <w:bottom w:val="single" w:sz="8" w:space="0" w:color="000000"/>
            </w:tcBorders>
            <w:vAlign w:val="center"/>
          </w:tcPr>
          <w:p>
            <w:pPr>
              <w:pStyle w:val="TableContents"/>
              <w:bidi w:val="0"/>
              <w:spacing w:before="0" w:after="283"/>
              <w:jc w:val="center"/>
              <w:rPr>
                <w:b/>
              </w:rPr>
            </w:pPr>
            <w:bookmarkStart w:id="5" w:name="xdx_904_edei--EntityIncorporationStateCo"/>
            <w:bookmarkEnd w:id="5"/>
            <w:r>
              <w:rPr>
                <w:b/>
              </w:rPr>
              <w:t>Virginia</w:t>
            </w:r>
          </w:p>
        </w:tc>
        <w:tc>
          <w:tcPr>
            <w:tcW w:w="60" w:type="dxa"/>
            <w:tcBorders/>
            <w:tcMar>
              <w:bottom w:w="0" w:type="dxa"/>
            </w:tcMar>
            <w:vAlign w:val="center"/>
          </w:tcPr>
          <w:p>
            <w:pPr>
              <w:pStyle w:val="TableContents"/>
              <w:bidi w:val="0"/>
              <w:spacing w:before="0" w:after="283"/>
              <w:jc w:val="center"/>
              <w:rPr/>
            </w:pPr>
            <w:r>
              <w:rPr/>
              <w:t> </w:t>
            </w:r>
          </w:p>
        </w:tc>
        <w:tc>
          <w:tcPr>
            <w:tcW w:w="2270" w:type="dxa"/>
            <w:tcBorders>
              <w:bottom w:val="single" w:sz="8" w:space="0" w:color="000000"/>
            </w:tcBorders>
            <w:vAlign w:val="center"/>
          </w:tcPr>
          <w:p>
            <w:pPr>
              <w:pStyle w:val="TableContents"/>
              <w:bidi w:val="0"/>
              <w:spacing w:before="0" w:after="283"/>
              <w:jc w:val="center"/>
              <w:rPr>
                <w:b/>
              </w:rPr>
            </w:pPr>
            <w:bookmarkStart w:id="6" w:name="xdx_906_edei--EntityFileNumber_c20260903"/>
            <w:bookmarkEnd w:id="6"/>
            <w:r>
              <w:rPr>
                <w:b/>
              </w:rPr>
              <w:t>000-25349</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8" w:space="0" w:color="000000"/>
            </w:tcBorders>
            <w:vAlign w:val="center"/>
          </w:tcPr>
          <w:p>
            <w:pPr>
              <w:pStyle w:val="TableContents"/>
              <w:bidi w:val="0"/>
              <w:spacing w:before="0" w:after="283"/>
              <w:jc w:val="center"/>
              <w:rPr>
                <w:b/>
              </w:rPr>
            </w:pPr>
            <w:bookmarkStart w:id="7" w:name="xdx_908_edei--EntityTaxIdentificationNum"/>
            <w:bookmarkEnd w:id="7"/>
            <w:r>
              <w:rPr>
                <w:b/>
              </w:rPr>
              <w:t>54-0251350</w:t>
            </w:r>
          </w:p>
        </w:tc>
      </w:tr>
      <w:tr>
        <w:trPr/>
        <w:tc>
          <w:tcPr>
            <w:tcW w:w="3125"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70"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(Commission File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80"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(I.R.S. Employer</w:t>
              <w:br/>
              <w:t>Identification No.)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3802"/>
        <w:gridCol w:w="60"/>
        <w:gridCol w:w="1100"/>
        <w:gridCol w:w="60"/>
        <w:gridCol w:w="5183"/>
      </w:tblGrid>
      <w:tr>
        <w:trPr/>
        <w:tc>
          <w:tcPr>
            <w:tcW w:w="3802" w:type="dxa"/>
            <w:tcBorders>
              <w:bottom w:val="single" w:sz="8" w:space="0" w:color="000000"/>
            </w:tcBorders>
            <w:vAlign w:val="center"/>
          </w:tcPr>
          <w:p>
            <w:pPr>
              <w:pStyle w:val="TableContents"/>
              <w:bidi w:val="0"/>
              <w:spacing w:before="0" w:after="283"/>
              <w:jc w:val="center"/>
              <w:rPr>
                <w:b/>
              </w:rPr>
            </w:pPr>
            <w:bookmarkStart w:id="8" w:name="xdx_902_edei--EntityAddressAddressLine1_"/>
            <w:bookmarkEnd w:id="8"/>
            <w:r>
              <w:rPr>
                <w:b/>
              </w:rPr>
              <w:t>440 East Commonwealth Boulevard,</w:t>
              <w:br/>
            </w:r>
            <w:bookmarkStart w:id="9" w:name="xdx_901_edei--EntityAddressCityOrTown_c2"/>
            <w:bookmarkEnd w:id="9"/>
            <w:r>
              <w:rPr>
                <w:b/>
              </w:rPr>
              <w:t xml:space="preserve">Martinsville, </w:t>
            </w:r>
            <w:bookmarkStart w:id="10" w:name="xdx_90D_edei--EntityAddressStateOrProvin"/>
            <w:bookmarkEnd w:id="10"/>
            <w:r>
              <w:rPr>
                <w:b/>
              </w:rPr>
              <w:t>Virginia</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b/>
              </w:rPr>
            </w:pPr>
            <w:bookmarkStart w:id="11" w:name="xdx_905_edei--EntityAddressPostalZipCode"/>
            <w:bookmarkEnd w:id="11"/>
            <w:r>
              <w:rPr>
                <w:b/>
              </w:rPr>
              <w:t>24112</w:t>
            </w:r>
          </w:p>
        </w:tc>
        <w:tc>
          <w:tcPr>
            <w:tcW w:w="60" w:type="dxa"/>
            <w:tcBorders/>
            <w:tcMar>
              <w:bottom w:w="0" w:type="dxa"/>
            </w:tcMar>
            <w:vAlign w:val="center"/>
          </w:tcPr>
          <w:p>
            <w:pPr>
              <w:pStyle w:val="TableContents"/>
              <w:bidi w:val="0"/>
              <w:spacing w:before="0" w:after="283"/>
              <w:jc w:val="center"/>
              <w:rPr/>
            </w:pPr>
            <w:r>
              <w:rPr/>
              <w:t> </w:t>
            </w:r>
          </w:p>
        </w:tc>
        <w:tc>
          <w:tcPr>
            <w:tcW w:w="5183" w:type="dxa"/>
            <w:tcBorders>
              <w:bottom w:val="single" w:sz="8" w:space="0" w:color="000000"/>
            </w:tcBorders>
            <w:vAlign w:val="center"/>
          </w:tcPr>
          <w:p>
            <w:pPr>
              <w:pStyle w:val="TableContents"/>
              <w:bidi w:val="0"/>
              <w:spacing w:before="0" w:after="283"/>
              <w:jc w:val="center"/>
              <w:rPr>
                <w:b/>
              </w:rPr>
            </w:pPr>
            <w:bookmarkStart w:id="12" w:name="xdx_908_edei--CityAreaCode_c20260903__20"/>
            <w:bookmarkEnd w:id="12"/>
            <w:r>
              <w:rPr>
                <w:b/>
              </w:rPr>
              <w:t xml:space="preserve">(276) </w:t>
            </w:r>
            <w:bookmarkStart w:id="13" w:name="xdx_900_edei--LocalPhoneNumber_c20260903"/>
            <w:bookmarkEnd w:id="13"/>
            <w:r>
              <w:rPr>
                <w:b/>
              </w:rPr>
              <w:t>632-2133</w:t>
            </w:r>
          </w:p>
        </w:tc>
      </w:tr>
      <w:tr>
        <w:trPr/>
        <w:tc>
          <w:tcPr>
            <w:tcW w:w="3802"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(Zip Code)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3"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(Registrant’s telephone number, including area code)</w:t>
            </w:r>
          </w:p>
        </w:tc>
      </w:tr>
    </w:tbl>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8_edei--SolicitingMaterial_c202609"/>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7635" w:type="dxa"/>
        <w:jc w:val="left"/>
        <w:tblInd w:w="0" w:type="dxa"/>
        <w:tblLayout w:type="fixed"/>
        <w:tblCellMar>
          <w:top w:w="0" w:type="dxa"/>
          <w:left w:w="0" w:type="dxa"/>
          <w:bottom w:w="28" w:type="dxa"/>
          <w:right w:w="0" w:type="dxa"/>
        </w:tblCellMar>
      </w:tblPr>
      <w:tblGrid>
        <w:gridCol w:w="2390"/>
        <w:gridCol w:w="60"/>
        <w:gridCol w:w="1535"/>
        <w:gridCol w:w="60"/>
        <w:gridCol w:w="3590"/>
      </w:tblGrid>
      <w:tr>
        <w:trPr/>
        <w:tc>
          <w:tcPr>
            <w:tcW w:w="239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359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3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7_edei--Security12bTitle_c20260903"/>
            <w:bookmarkEnd w:id="18"/>
            <w:r>
              <w:rPr>
                <w:rFonts w:ascii="Times New Roman;Times;Serif" w:hAnsi="Times New Roman;Times;Serif"/>
                <w:b w:val="false"/>
                <w:i w:val="false"/>
                <w:caps w:val="false"/>
                <w:smallCaps w:val="false"/>
                <w:sz w:val="20"/>
              </w:rPr>
              <w:t>Common Stock, no par value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TradingSymbol_c20260903__2"/>
            <w:bookmarkEnd w:id="19"/>
            <w:r>
              <w:rPr>
                <w:rFonts w:ascii="Times New Roman;Times;Serif" w:hAnsi="Times New Roman;Times;Serif"/>
                <w:b w:val="false"/>
                <w:i w:val="false"/>
                <w:caps w:val="false"/>
                <w:smallCaps w:val="false"/>
                <w:sz w:val="20"/>
              </w:rPr>
              <w:t>HOFT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SecurityExchangeName_c2026"/>
            <w:bookmarkEnd w:id="20"/>
            <w:r>
              <w:rPr>
                <w:rFonts w:ascii="Times New Roman;Times;Serif" w:hAnsi="Times New Roman;Times;Serif"/>
                <w:b w:val="false"/>
                <w:i w:val="false"/>
                <w:caps w:val="false"/>
                <w:smallCaps w:val="false"/>
                <w:sz w:val="20"/>
              </w:rPr>
              <w:t>NASDAQ Global Select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(the “Committee”) of the Board of Directors of Hooker Furnishings Corporation (the “Company”) has determined that certain equity stock awards granted to Jeremy R. Hoff, the Company’s Chief Executive Officer and Director, exceeded the limit on the number of shares subject to equity awards that could be granted to any one participant in a fiscal year under the 2024 Amendment and Restatement of the Hooker Furnishings Corporation Stock Incentive Plan (the “Stock Incentive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Mr. Hoff was granted in fiscal 2026 the following equity awards under the Stock Incentive Plan on February 20, 2025 (the “Fiscal 2026 Awards”): (1) 40,383 time-based restricted stock units, (2) performance-based restricted stock units with an absolute earnings per share growth component (the “EPS PSUs”) having a maximum payout of 40,383 shares of common stock, and (3) performance-based restricted stock units with a relative total shareholder return component (the “TSR PSUs”) having a maximum payout of 40,383 shares of common stock. In addition, as previously reported, Mr. Hoff was granted in fiscal 2027 the following equity awards under the Stock Incentive Plan on April 13, 2026 (the “Fiscal 2027 Awards”): (1) 35,656 time-based restricted stock units, (2) EPS PSUs having a maximum payout of 35,656 shares of common stock, and (3) TSR PSUs having a maximum payout of 35,656 shares of common stock. The Stock Incentive Plan limits the number of shares subject to equity awards that may be granted to any individual participant in any fiscal year to 75,000 shares (the “Annual Plan Limit”). The shares of common stock of the Company allocated to Mr. Hoff’s Fiscal 2026 Awards exceeded the Annual Plan Limit by 46,149 shares (the “2026 Excess Shares”) and the shares allocated to Mr. Hoff’s Fiscal 2027 Awards exceeded the Annual Plan Limit by 31,968 shares (the “2027 Excess Shares”). Consequently, to comply with the Annual Plan Limit, the Committee rescinded and cancelled the 2026 Excess Shares from Mr. Hoff’s Fiscal 2026 Awards (40,383 shares rescinded and cancelled from the TSR PSUs and 5,766 shares rescinded and cancelled from the EPS PSUs) and rescinded and cancelled the 2027 Excess Shares from Mr. Hoff’s Fiscal 2027 Awards (entirely from the TSR PSUs). In connection with the foregoing, the Committee amended the applicable grant agreements to reflect the rescission and cancellation of the 2026 Excess Shares and 2027 Excess Shares from Mr. Hoff’s awards, and adopted additional control procedures to ensure that the Annual Plan Limit and other terms and conditions of the Stock Incentive Plan are more closely reviewed for future equity awards granted thereunder. For the avoidance of doubt, the foregoing actions do not in any way relate to the performance of Mr. Hoff or the Company.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both"/>
              <w:rPr>
                <w:b/>
              </w:rPr>
            </w:pPr>
            <w:r>
              <w:rPr>
                <w:b/>
              </w:rPr>
              <w:t>Financial Statements and Exhibits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305"/>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(d)</w:t>
            </w:r>
          </w:p>
        </w:tc>
        <w:tc>
          <w:tcPr>
            <w:tcW w:w="875" w:type="dxa"/>
            <w:tcBorders/>
            <w:vAlign w:val="center"/>
          </w:tcPr>
          <w:p>
            <w:pPr>
              <w:pStyle w:val="TableContents"/>
              <w:bidi w:val="0"/>
              <w:spacing w:before="0" w:after="283"/>
              <w:jc w:val="both"/>
              <w:rPr>
                <w:b/>
              </w:rPr>
            </w:pPr>
            <w:r>
              <w:rPr>
                <w:b/>
              </w:rPr>
              <w:t>Exhibits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28" w:type="dxa"/>
          <w:right w:w="0" w:type="dxa"/>
        </w:tblCellMar>
      </w:tblPr>
      <w:tblGrid>
        <w:gridCol w:w="815"/>
        <w:gridCol w:w="60"/>
        <w:gridCol w:w="7685"/>
      </w:tblGrid>
      <w:tr>
        <w:trPr/>
        <w:tc>
          <w:tcPr>
            <w:tcW w:w="815" w:type="dxa"/>
            <w:tcBorders>
              <w:bottom w:val="single" w:sz="8" w:space="0" w:color="000000"/>
            </w:tcBorders>
            <w:vAlign w:val="center"/>
          </w:tcPr>
          <w:p>
            <w:pPr>
              <w:pStyle w:val="TableContents"/>
              <w:bidi w:val="0"/>
              <w:spacing w:before="0" w:after="283"/>
              <w:jc w:val="left"/>
              <w:rPr/>
            </w:pPr>
            <w:r>
              <w:rPr/>
              <w:t>Exhibits</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413" w:type="dxa"/>
        <w:jc w:val="left"/>
        <w:tblInd w:w="0" w:type="dxa"/>
        <w:tblLayout w:type="fixed"/>
        <w:tblCellMar>
          <w:top w:w="0" w:type="dxa"/>
          <w:left w:w="0" w:type="dxa"/>
          <w:bottom w:w="0" w:type="dxa"/>
          <w:right w:w="0" w:type="dxa"/>
        </w:tblCellMar>
      </w:tblPr>
      <w:tblGrid>
        <w:gridCol w:w="38"/>
        <w:gridCol w:w="12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6954" w:type="dxa"/>
        <w:jc w:val="left"/>
        <w:tblInd w:w="0" w:type="dxa"/>
        <w:tblLayout w:type="fixed"/>
        <w:tblCellMar>
          <w:top w:w="0" w:type="dxa"/>
          <w:left w:w="0" w:type="dxa"/>
          <w:bottom w:w="0" w:type="dxa"/>
          <w:right w:w="0" w:type="dxa"/>
        </w:tblCellMar>
      </w:tblPr>
      <w:tblGrid>
        <w:gridCol w:w="2390"/>
        <w:gridCol w:w="481"/>
        <w:gridCol w:w="4083"/>
      </w:tblGrid>
      <w:tr>
        <w:trPr/>
        <w:tc>
          <w:tcPr>
            <w:tcW w:w="2390"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HOOKER FURNISHINGS CORPORATION</w:t>
            </w:r>
          </w:p>
        </w:tc>
      </w:tr>
      <w:tr>
        <w:trPr/>
        <w:tc>
          <w:tcPr>
            <w:tcW w:w="2390"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By:</w:t>
            </w:r>
          </w:p>
        </w:tc>
        <w:tc>
          <w:tcPr>
            <w:tcW w:w="4083" w:type="dxa"/>
            <w:tcBorders>
              <w:bottom w:val="single" w:sz="8" w:space="0" w:color="000000"/>
            </w:tcBorders>
            <w:tcMar>
              <w:bottom w:w="28" w:type="dxa"/>
            </w:tcMar>
            <w:vAlign w:val="center"/>
          </w:tcPr>
          <w:p>
            <w:pPr>
              <w:pStyle w:val="TableContents"/>
              <w:bidi w:val="0"/>
              <w:spacing w:before="0" w:after="283"/>
              <w:jc w:val="left"/>
              <w:rPr/>
            </w:pPr>
            <w:r>
              <w:rPr/>
              <w:t>/s/ C. Earl Armstrong III</w:t>
            </w:r>
          </w:p>
        </w:tc>
      </w:tr>
      <w:tr>
        <w:trPr/>
        <w:tc>
          <w:tcPr>
            <w:tcW w:w="239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C. Earl Armstrong III</w:t>
            </w:r>
          </w:p>
        </w:tc>
      </w:tr>
      <w:tr>
        <w:trPr/>
        <w:tc>
          <w:tcPr>
            <w:tcW w:w="239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Chief Financial Officer and</w:t>
            </w:r>
          </w:p>
        </w:tc>
      </w:tr>
      <w:tr>
        <w:trPr/>
        <w:tc>
          <w:tcPr>
            <w:tcW w:w="239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Senior Vice-President – Finance</w:t>
            </w:r>
          </w:p>
        </w:tc>
      </w:tr>
      <w:tr>
        <w:trPr/>
        <w:tc>
          <w:tcPr>
            <w:tcW w:w="2390"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Date: September 4, 2026</w:t>
            </w:r>
          </w:p>
        </w:tc>
        <w:tc>
          <w:tcPr>
            <w:tcW w:w="4564"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846</Words>
  <Characters>4632</Characters>
  <CharactersWithSpaces>5487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