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832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32350"/>
                    </a:xfrm>
                    <a:prstGeom prst="rect">
                      <a:avLst/>
                    </a:prstGeom>
                    <a:noFill/>
                  </pic:spPr>
                </pic:pic>
              </a:graphicData>
            </a:graphic>
          </wp:anchor>
        </w:drawing>
      </w:r>
    </w:p>
    <w:p>
      <w:pPr>
        <w:spacing w:after="0" w:line="118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Tilley Adam G</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HOOKER FURNISHINGS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HOFT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290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07/01/2026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440 COMMONWEALTH BLVD 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7"/>
          <w:szCs w:val="17"/>
          <w:color w:val="0000FF"/>
        </w:rPr>
        <w:t>President of Hooker Branded</w:t>
      </w:r>
    </w:p>
    <w:p>
      <w:pPr>
        <w:spacing w:after="0" w:line="315"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202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370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60" w:type="dxa"/>
            <w:vAlign w:val="bottom"/>
            <w:vMerge w:val="restart"/>
          </w:tcPr>
          <w:p>
            <w:pPr>
              <w:ind w:left="280"/>
              <w:spacing w:after="0"/>
              <w:rPr>
                <w:sz w:val="20"/>
                <w:szCs w:val="20"/>
                <w:color w:val="auto"/>
              </w:rPr>
            </w:pPr>
            <w:r>
              <w:rPr>
                <w:rFonts w:ascii="Arial" w:cs="Arial" w:eastAsia="Arial" w:hAnsi="Arial"/>
                <w:sz w:val="13"/>
                <w:szCs w:val="13"/>
                <w:color w:val="auto"/>
                <w:w w:val="99"/>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60" w:type="dxa"/>
            <w:vAlign w:val="bottom"/>
          </w:tcPr>
          <w:p>
            <w:pPr>
              <w:ind w:left="28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MARTINSVILLE VA</w:t>
            </w:r>
          </w:p>
        </w:tc>
        <w:tc>
          <w:tcPr>
            <w:tcW w:w="16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0000FF"/>
              </w:rPr>
              <w:t>24112</w:t>
            </w:r>
          </w:p>
        </w:tc>
        <w:tc>
          <w:tcPr>
            <w:tcW w:w="3700" w:type="dxa"/>
            <w:vAlign w:val="bottom"/>
          </w:tcPr>
          <w:p>
            <w:pPr>
              <w:spacing w:after="0"/>
              <w:rPr>
                <w:sz w:val="19"/>
                <w:szCs w:val="19"/>
                <w:color w:val="auto"/>
              </w:rPr>
            </w:pPr>
          </w:p>
        </w:tc>
        <w:tc>
          <w:tcPr>
            <w:tcW w:w="3260" w:type="dxa"/>
            <w:vAlign w:val="bottom"/>
          </w:tcPr>
          <w:p>
            <w:pPr>
              <w:ind w:left="8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3700" w:type="dxa"/>
            <w:vAlign w:val="bottom"/>
          </w:tcPr>
          <w:p>
            <w:pPr>
              <w:spacing w:after="0"/>
              <w:rPr>
                <w:sz w:val="13"/>
                <w:szCs w:val="13"/>
                <w:color w:val="auto"/>
              </w:rPr>
            </w:pPr>
          </w:p>
        </w:tc>
        <w:tc>
          <w:tcPr>
            <w:tcW w:w="3260" w:type="dxa"/>
            <w:vAlign w:val="bottom"/>
          </w:tcPr>
          <w:p>
            <w:pPr>
              <w:ind w:left="8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260" w:type="dxa"/>
            <w:vAlign w:val="bottom"/>
          </w:tcPr>
          <w:p>
            <w:pPr>
              <w:ind w:left="820"/>
              <w:spacing w:after="0" w:line="142"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3,105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8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0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4,454</w:t>
            </w:r>
            <w:r>
              <w:rPr>
                <w:rFonts w:ascii="Times New Roman" w:cs="Times New Roman" w:eastAsia="Times New Roman" w:hAnsi="Times New Roman"/>
                <w:sz w:val="21"/>
                <w:szCs w:val="21"/>
                <w:color w:val="008000"/>
                <w:w w:val="98"/>
                <w:vertAlign w:val="superscript"/>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4,454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29" w:lineRule="exact"/>
              <w:rPr>
                <w:sz w:val="20"/>
                <w:szCs w:val="20"/>
                <w:color w:val="auto"/>
              </w:rPr>
            </w:pPr>
            <w:r>
              <w:rPr>
                <w:rFonts w:ascii="Times New Roman" w:cs="Times New Roman" w:eastAsia="Times New Roman" w:hAnsi="Times New Roman"/>
                <w:sz w:val="13"/>
                <w:szCs w:val="13"/>
                <w:color w:val="0000FF"/>
              </w:rPr>
              <w:t>4,454</w:t>
            </w:r>
          </w:p>
        </w:tc>
        <w:tc>
          <w:tcPr>
            <w:tcW w:w="280" w:type="dxa"/>
            <w:vAlign w:val="bottom"/>
          </w:tcPr>
          <w:p>
            <w:pPr>
              <w:spacing w:after="0"/>
              <w:rPr>
                <w:sz w:val="11"/>
                <w:szCs w:val="11"/>
                <w:color w:val="auto"/>
              </w:rPr>
            </w:pPr>
          </w:p>
        </w:tc>
        <w:tc>
          <w:tcPr>
            <w:tcW w:w="6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-2099310</wp:posOffset>
            </wp:positionV>
            <wp:extent cx="29210" cy="2104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43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HOFT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grant vests ratably by entitling the executive officer to receive one third of the grant if he remains continuously employed with the Company through the end of each service period that ends July 1, 2027, July 1, 2028, and July 1, 2029, respectively.</w:t>
      </w:r>
    </w:p>
    <w:p>
      <w:pPr>
        <w:spacing w:after="0" w:line="16" w:lineRule="exact"/>
        <w:rPr>
          <w:rFonts w:ascii="Times New Roman" w:cs="Times New Roman" w:eastAsia="Times New Roman" w:hAnsi="Times New Roman"/>
          <w:sz w:val="13"/>
          <w:szCs w:val="13"/>
          <w:color w:val="008000"/>
        </w:rPr>
      </w:pPr>
    </w:p>
    <w:p>
      <w:pPr>
        <w:ind w:left="40" w:right="58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direction of the issuer's Compensation Committee, the RSUs may be paid in shares of HOFT common stock, cash (based on the fair market value of a share of HOFT common stock on the date payment is made) or both.</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Yumin Yang Attorney in</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07/02/2026</w:t>
            </w:r>
          </w:p>
        </w:tc>
        <w:tc>
          <w:tcPr>
            <w:tcW w:w="0" w:type="dxa"/>
            <w:vAlign w:val="bottom"/>
          </w:tcPr>
          <w:p>
            <w:pPr>
              <w:spacing w:after="0"/>
              <w:rPr>
                <w:sz w:val="1"/>
                <w:szCs w:val="1"/>
                <w:color w:val="auto"/>
              </w:rPr>
            </w:pPr>
          </w:p>
        </w:tc>
      </w:tr>
      <w:tr>
        <w:trPr>
          <w:trHeight w:val="84"/>
        </w:trPr>
        <w:tc>
          <w:tcPr>
            <w:tcW w:w="1640" w:type="dxa"/>
            <w:vAlign w:val="bottom"/>
            <w:tcBorders>
              <w:top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Adam G. Tilley</w:t>
            </w:r>
          </w:p>
        </w:tc>
        <w:tc>
          <w:tcPr>
            <w:tcW w:w="2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40" w:type="dxa"/>
            <w:vAlign w:val="bottom"/>
            <w:tcBorders>
              <w:top w:val="single" w:sz="8" w:color="auto"/>
              <w:bottom w:val="single" w:sz="8" w:color="auto"/>
            </w:tcBorders>
            <w:vMerge w:val="continue"/>
          </w:tcPr>
          <w:p>
            <w:pPr>
              <w:spacing w:after="0"/>
              <w:rPr>
                <w:sz w:val="7"/>
                <w:szCs w:val="7"/>
                <w:color w:val="auto"/>
              </w:rPr>
            </w:pPr>
          </w:p>
        </w:tc>
        <w:tc>
          <w:tcPr>
            <w:tcW w:w="2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8532" TargetMode="External"/><Relationship Id="rId14" Type="http://schemas.openxmlformats.org/officeDocument/2006/relationships/hyperlink" Target="http://www.sec.gov/cgi-bin/browse-edgar?action=getcompany&amp;CIK=0001077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2026-07-02T10:54:44Z</dcterms:created>
  <dcterms:modified xsi:type="dcterms:W3CDTF">2026-07-02T10:54:44Z</dcterms:modified>
</cp:coreProperties>
</file>