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523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52310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Hoff Jeremy R</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11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POB 4708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HOOKER FURNISHINGS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HOFT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04/13/2026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8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80" w:lineRule="exact"/>
        <w:rPr>
          <w:sz w:val="24"/>
          <w:szCs w:val="24"/>
          <w:color w:val="auto"/>
        </w:rPr>
      </w:pPr>
    </w:p>
    <w:p>
      <w:pPr>
        <w:sectPr>
          <w:pgSz w:w="11900" w:h="16838" w:orient="portrait"/>
          <w:cols w:equalWidth="0" w:num="3">
            <w:col w:w="3180" w:space="720"/>
            <w:col w:w="3440" w:space="396"/>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10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3520" w:type="dxa"/>
            <w:vAlign w:val="bottom"/>
            <w:gridSpan w:val="8"/>
            <w:vMerge w:val="restart"/>
          </w:tcPr>
          <w:p>
            <w:pPr>
              <w:jc w:val="center"/>
              <w:spacing w:after="0"/>
              <w:rPr>
                <w:sz w:val="20"/>
                <w:szCs w:val="20"/>
                <w:color w:val="auto"/>
              </w:rPr>
            </w:pPr>
            <w:r>
              <w:rPr>
                <w:rFonts w:ascii="Arial" w:cs="Arial" w:eastAsia="Arial" w:hAnsi="Arial"/>
                <w:sz w:val="13"/>
                <w:szCs w:val="13"/>
                <w:color w:val="auto"/>
                <w:w w:val="97"/>
              </w:rPr>
              <w:t>4. If Amendment, Date of Original Filed (Month/Day/Year)</w:t>
            </w:r>
          </w:p>
        </w:tc>
        <w:tc>
          <w:tcPr>
            <w:tcW w:w="220" w:type="dxa"/>
            <w:vAlign w:val="bottom"/>
          </w:tcPr>
          <w:p>
            <w:pPr>
              <w:spacing w:after="0"/>
              <w:rPr>
                <w:sz w:val="3"/>
                <w:szCs w:val="3"/>
                <w:color w:val="auto"/>
              </w:rPr>
            </w:pPr>
          </w:p>
        </w:tc>
        <w:tc>
          <w:tcPr>
            <w:tcW w:w="358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520" w:type="dxa"/>
            <w:vAlign w:val="bottom"/>
            <w:gridSpan w:val="8"/>
            <w:vMerge w:val="continue"/>
          </w:tcPr>
          <w:p>
            <w:pPr>
              <w:spacing w:after="0"/>
              <w:rPr>
                <w:sz w:val="9"/>
                <w:szCs w:val="9"/>
                <w:color w:val="auto"/>
              </w:rPr>
            </w:pPr>
          </w:p>
        </w:tc>
        <w:tc>
          <w:tcPr>
            <w:tcW w:w="220" w:type="dxa"/>
            <w:vAlign w:val="bottom"/>
          </w:tcPr>
          <w:p>
            <w:pPr>
              <w:spacing w:after="0"/>
              <w:rPr>
                <w:sz w:val="9"/>
                <w:szCs w:val="9"/>
                <w:color w:val="auto"/>
              </w:rPr>
            </w:pPr>
          </w:p>
        </w:tc>
        <w:tc>
          <w:tcPr>
            <w:tcW w:w="35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gridSpan w:val="2"/>
          </w:tcPr>
          <w:p>
            <w:pPr>
              <w:ind w:left="24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MARTINSVILLE VA</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24115</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Borders>
              <w:top w:val="single" w:sz="8" w:color="EEEEEE"/>
            </w:tcBorders>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10"/>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ind w:left="40"/>
              <w:spacing w:after="0"/>
              <w:rPr>
                <w:sz w:val="20"/>
                <w:szCs w:val="20"/>
                <w:color w:val="auto"/>
              </w:rPr>
            </w:pPr>
            <w:r>
              <w:rPr>
                <w:rFonts w:ascii="Arial" w:cs="Arial" w:eastAsia="Arial" w:hAnsi="Arial"/>
                <w:sz w:val="11"/>
                <w:szCs w:val="11"/>
                <w:b w:val="1"/>
                <w:bCs w:val="1"/>
                <w:color w:val="auto"/>
              </w:rPr>
              <w:t>5)</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2"/>
          </w:tcPr>
          <w:p>
            <w:pPr>
              <w:ind w:left="340"/>
              <w:spacing w:after="0"/>
              <w:rPr>
                <w:sz w:val="20"/>
                <w:szCs w:val="20"/>
                <w:color w:val="auto"/>
              </w:rPr>
            </w:pPr>
            <w:r>
              <w:rPr>
                <w:rFonts w:ascii="Arial" w:cs="Arial" w:eastAsia="Arial" w:hAnsi="Arial"/>
                <w:sz w:val="11"/>
                <w:szCs w:val="11"/>
                <w:b w:val="1"/>
                <w:bCs w:val="1"/>
                <w:color w:val="auto"/>
              </w:rPr>
              <w:t>(A) or</w:t>
            </w:r>
          </w:p>
        </w:tc>
        <w:tc>
          <w:tcPr>
            <w:tcW w:w="5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56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42,684</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480" w:type="dxa"/>
            <w:vAlign w:val="bottom"/>
            <w:tcBorders>
              <w:bottom w:val="single" w:sz="8" w:color="2C2C2C"/>
            </w:tcBorders>
            <w:gridSpan w:val="12"/>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3"/>
          </w:tcPr>
          <w:p>
            <w:pPr>
              <w:jc w:val="center"/>
              <w:ind w:left="45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320" w:type="dxa"/>
            <w:vAlign w:val="bottom"/>
            <w:gridSpan w:val="4"/>
          </w:tcPr>
          <w:p>
            <w:pPr>
              <w:ind w:left="20"/>
              <w:spacing w:after="0"/>
              <w:rPr>
                <w:sz w:val="20"/>
                <w:szCs w:val="20"/>
                <w:color w:val="auto"/>
              </w:rPr>
            </w:pPr>
            <w:r>
              <w:rPr>
                <w:rFonts w:ascii="Arial" w:cs="Arial" w:eastAsia="Arial" w:hAnsi="Arial"/>
                <w:sz w:val="11"/>
                <w:szCs w:val="11"/>
                <w:b w:val="1"/>
                <w:bCs w:val="1"/>
                <w:color w:val="auto"/>
              </w:rPr>
              <w:t>Underlying Derivative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Security (Instr. 3 and</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300" w:type="dxa"/>
            <w:vAlign w:val="bottom"/>
          </w:tcPr>
          <w:p>
            <w:pPr>
              <w:spacing w:after="0"/>
              <w:rPr>
                <w:sz w:val="15"/>
                <w:szCs w:val="15"/>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(2)</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35,656</w:t>
            </w:r>
            <w:r>
              <w:rPr>
                <w:rFonts w:ascii="Times New Roman" w:cs="Times New Roman" w:eastAsia="Times New Roman" w:hAnsi="Times New Roman"/>
                <w:sz w:val="21"/>
                <w:szCs w:val="21"/>
                <w:color w:val="008000"/>
                <w:w w:val="98"/>
                <w:vertAlign w:val="superscript"/>
              </w:rPr>
              <w:t>(3)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11"/>
                <w:szCs w:val="11"/>
                <w:color w:val="auto"/>
              </w:rPr>
            </w:pP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04/13/2026</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35,656</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28" w:lineRule="exact"/>
              <w:rPr>
                <w:sz w:val="20"/>
                <w:szCs w:val="20"/>
                <w:color w:val="auto"/>
              </w:rPr>
            </w:pPr>
            <w:r>
              <w:rPr>
                <w:rFonts w:ascii="Times New Roman" w:cs="Times New Roman" w:eastAsia="Times New Roman" w:hAnsi="Times New Roman"/>
                <w:sz w:val="13"/>
                <w:szCs w:val="13"/>
                <w:color w:val="0000FF"/>
              </w:rPr>
              <w:t>35,656</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HOFT common stock.</w:t>
      </w:r>
    </w:p>
    <w:p>
      <w:pPr>
        <w:spacing w:after="0" w:line="41" w:lineRule="exact"/>
        <w:rPr>
          <w:rFonts w:ascii="Times New Roman" w:cs="Times New Roman" w:eastAsia="Times New Roman" w:hAnsi="Times New Roman"/>
          <w:sz w:val="13"/>
          <w:szCs w:val="13"/>
          <w:color w:val="008000"/>
        </w:rPr>
      </w:pPr>
    </w:p>
    <w:p>
      <w:pPr>
        <w:ind w:left="40" w:right="3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grant vests ratably by entitling the executive officer to receive one third of the grant if he or she remains continuously employed with the Company through the end of each service period that ends April 13, 2027, April 13, 2028, and April 13, 2029, respectively.</w:t>
      </w:r>
    </w:p>
    <w:p>
      <w:pPr>
        <w:spacing w:after="0" w:line="19" w:lineRule="exact"/>
        <w:rPr>
          <w:rFonts w:ascii="Times New Roman" w:cs="Times New Roman" w:eastAsia="Times New Roman" w:hAnsi="Times New Roman"/>
          <w:sz w:val="13"/>
          <w:szCs w:val="13"/>
          <w:color w:val="008000"/>
        </w:rPr>
      </w:pPr>
    </w:p>
    <w:p>
      <w:pPr>
        <w:ind w:left="40" w:right="14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direction of the issuer's Compensation Committee, the RSUs may be paid in shares of HOFT common stock, cash (based on the fair market value of a share of HOFT common stock on the date payment is made) or both.</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Yumin Yang Attorney 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04/15/2026</w:t>
            </w:r>
          </w:p>
        </w:tc>
        <w:tc>
          <w:tcPr>
            <w:tcW w:w="0" w:type="dxa"/>
            <w:vAlign w:val="bottom"/>
          </w:tcPr>
          <w:p>
            <w:pPr>
              <w:spacing w:after="0"/>
              <w:rPr>
                <w:sz w:val="1"/>
                <w:szCs w:val="1"/>
                <w:color w:val="auto"/>
              </w:rPr>
            </w:pPr>
          </w:p>
        </w:tc>
      </w:tr>
      <w:tr>
        <w:trPr>
          <w:trHeight w:val="87"/>
        </w:trPr>
        <w:tc>
          <w:tcPr>
            <w:tcW w:w="1820" w:type="dxa"/>
            <w:vAlign w:val="bottom"/>
            <w:tcBorders>
              <w:top w:val="single" w:sz="8" w:color="auto"/>
              <w:bottom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 for Jeremy R. Hoff</w:t>
            </w:r>
          </w:p>
        </w:tc>
        <w:tc>
          <w:tcPr>
            <w:tcW w:w="3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20" w:type="dxa"/>
            <w:vAlign w:val="bottom"/>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9636" TargetMode="External"/><Relationship Id="rId14" Type="http://schemas.openxmlformats.org/officeDocument/2006/relationships/hyperlink" Target="http://www.sec.gov/cgi-bin/browse-edgar?action=getcompany&amp;CIK=0001077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2026-04-15T09:42:58Z</dcterms:created>
  <dcterms:modified xsi:type="dcterms:W3CDTF">2026-04-15T09:42:58Z</dcterms:modified>
</cp:coreProperties>
</file>