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832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32350"/>
                    </a:xfrm>
                    <a:prstGeom prst="rect">
                      <a:avLst/>
                    </a:prstGeom>
                    <a:noFill/>
                  </pic:spPr>
                </pic:pic>
              </a:graphicData>
            </a:graphic>
          </wp:anchor>
        </w:drawing>
      </w:r>
    </w:p>
    <w:p>
      <w:pPr>
        <w:spacing w:after="0" w:line="118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Vest Richard L II</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HOOKER FURNISHINGS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HOFT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07/01/2026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440 COMMONWEALTH BLVD 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458"/>
        <w:spacing w:after="0"/>
        <w:rPr>
          <w:sz w:val="20"/>
          <w:szCs w:val="20"/>
          <w:color w:val="auto"/>
        </w:rPr>
      </w:pPr>
      <w:r>
        <w:rPr>
          <w:rFonts w:ascii="Times New Roman" w:cs="Times New Roman" w:eastAsia="Times New Roman" w:hAnsi="Times New Roman"/>
          <w:sz w:val="17"/>
          <w:szCs w:val="17"/>
          <w:color w:val="0000FF"/>
        </w:rPr>
        <w:t>President Dom Uph &amp;Hospitality</w:t>
      </w:r>
    </w:p>
    <w:p>
      <w:pPr>
        <w:spacing w:after="0" w:line="315"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202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370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vMerge w:val="restart"/>
          </w:tcPr>
          <w:p>
            <w:pPr>
              <w:ind w:left="280"/>
              <w:spacing w:after="0"/>
              <w:rPr>
                <w:sz w:val="20"/>
                <w:szCs w:val="20"/>
                <w:color w:val="auto"/>
              </w:rPr>
            </w:pPr>
            <w:r>
              <w:rPr>
                <w:rFonts w:ascii="Arial" w:cs="Arial" w:eastAsia="Arial" w:hAnsi="Arial"/>
                <w:sz w:val="13"/>
                <w:szCs w:val="13"/>
                <w:color w:val="auto"/>
                <w:w w:val="99"/>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60" w:type="dxa"/>
            <w:vAlign w:val="bottom"/>
          </w:tcPr>
          <w:p>
            <w:pPr>
              <w:ind w:left="28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MARTINSVILLE VA</w:t>
            </w:r>
          </w:p>
        </w:tc>
        <w:tc>
          <w:tcPr>
            <w:tcW w:w="16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0000FF"/>
              </w:rPr>
              <w:t>24112</w:t>
            </w:r>
          </w:p>
        </w:tc>
        <w:tc>
          <w:tcPr>
            <w:tcW w:w="3700" w:type="dxa"/>
            <w:vAlign w:val="bottom"/>
          </w:tcPr>
          <w:p>
            <w:pPr>
              <w:spacing w:after="0"/>
              <w:rPr>
                <w:sz w:val="19"/>
                <w:szCs w:val="19"/>
                <w:color w:val="auto"/>
              </w:rPr>
            </w:pPr>
          </w:p>
        </w:tc>
        <w:tc>
          <w:tcPr>
            <w:tcW w:w="3260" w:type="dxa"/>
            <w:vAlign w:val="bottom"/>
          </w:tcPr>
          <w:p>
            <w:pPr>
              <w:ind w:left="8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3700" w:type="dxa"/>
            <w:vAlign w:val="bottom"/>
          </w:tcPr>
          <w:p>
            <w:pPr>
              <w:spacing w:after="0"/>
              <w:rPr>
                <w:sz w:val="13"/>
                <w:szCs w:val="13"/>
                <w:color w:val="auto"/>
              </w:rPr>
            </w:pPr>
          </w:p>
        </w:tc>
        <w:tc>
          <w:tcPr>
            <w:tcW w:w="3260" w:type="dxa"/>
            <w:vAlign w:val="bottom"/>
          </w:tcPr>
          <w:p>
            <w:pPr>
              <w:ind w:left="8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60" w:type="dxa"/>
            <w:vAlign w:val="bottom"/>
          </w:tcPr>
          <w:p>
            <w:pPr>
              <w:ind w:left="820"/>
              <w:spacing w:after="0" w:line="142"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8,641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4,454</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4,454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0000FF"/>
              </w:rPr>
              <w:t>4,454</w:t>
            </w:r>
          </w:p>
        </w:tc>
        <w:tc>
          <w:tcPr>
            <w:tcW w:w="280" w:type="dxa"/>
            <w:vAlign w:val="bottom"/>
          </w:tcPr>
          <w:p>
            <w:pPr>
              <w:spacing w:after="0"/>
              <w:rPr>
                <w:sz w:val="11"/>
                <w:szCs w:val="11"/>
                <w:color w:val="auto"/>
              </w:rPr>
            </w:pPr>
          </w:p>
        </w:tc>
        <w:tc>
          <w:tcPr>
            <w:tcW w:w="6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-2099310</wp:posOffset>
            </wp:positionV>
            <wp:extent cx="29210" cy="2104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43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HOFT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grant vests ratably by entitling the executive officer to receive one third of the grant if he remains continuously employed with the Company through the end of each service period that ends July 1, 2027, July 1, 2028, and July 1, 2029, respectively.</w:t>
      </w:r>
    </w:p>
    <w:p>
      <w:pPr>
        <w:spacing w:after="0" w:line="16" w:lineRule="exact"/>
        <w:rPr>
          <w:rFonts w:ascii="Times New Roman" w:cs="Times New Roman" w:eastAsia="Times New Roman" w:hAnsi="Times New Roman"/>
          <w:sz w:val="13"/>
          <w:szCs w:val="13"/>
          <w:color w:val="008000"/>
        </w:rPr>
      </w:pPr>
    </w:p>
    <w:p>
      <w:pPr>
        <w:ind w:left="40" w:right="5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direction of the issuer's Compensation Committee, the RSUs may be paid in shares of HOFT common stock, cash (based on the fair market value of a share of HOFT common stock on the date payment is made) or both.</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Yumin Yang Attorney in</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1860" w:type="dxa"/>
            <w:vAlign w:val="bottom"/>
            <w:tcBorders>
              <w:top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Richard L. Vest II</w:t>
            </w:r>
          </w:p>
        </w:tc>
        <w:tc>
          <w:tcPr>
            <w:tcW w:w="1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6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8541" TargetMode="External"/><Relationship Id="rId14" Type="http://schemas.openxmlformats.org/officeDocument/2006/relationships/hyperlink" Target="http://www.sec.gov/cgi-bin/browse-edgar?action=getcompany&amp;CIK=0001077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2026-07-02T10:53:28Z</dcterms:created>
  <dcterms:modified xsi:type="dcterms:W3CDTF">2026-07-02T10:53:28Z</dcterms:modified>
</cp:coreProperties>
</file>